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B463D" w14:textId="77777777" w:rsidR="00365230" w:rsidRPr="00B161D3" w:rsidRDefault="00B161D3">
      <w:pPr>
        <w:rPr>
          <w:rFonts w:ascii="Avenir Next" w:hAnsi="Avenir Next"/>
          <w:b/>
          <w:sz w:val="40"/>
          <w:szCs w:val="40"/>
        </w:rPr>
      </w:pPr>
      <w:r w:rsidRPr="00B161D3">
        <w:rPr>
          <w:rFonts w:ascii="Avenir Next" w:hAnsi="Avenir Next"/>
          <w:b/>
          <w:sz w:val="40"/>
          <w:szCs w:val="40"/>
        </w:rPr>
        <w:t>The 2.5% Commitment</w:t>
      </w:r>
    </w:p>
    <w:p w14:paraId="77124A47" w14:textId="77777777" w:rsidR="00B161D3" w:rsidRPr="00B161D3" w:rsidRDefault="00B161D3">
      <w:pPr>
        <w:rPr>
          <w:rFonts w:ascii="Avenir Next" w:hAnsi="Avenir Next"/>
        </w:rPr>
      </w:pPr>
    </w:p>
    <w:p w14:paraId="13B887DF" w14:textId="77777777" w:rsidR="00B161D3" w:rsidRPr="00B161D3" w:rsidRDefault="00B161D3" w:rsidP="00B161D3">
      <w:pPr>
        <w:rPr>
          <w:rFonts w:ascii="Avenir Next" w:hAnsi="Avenir Next"/>
        </w:rPr>
      </w:pPr>
      <w:r w:rsidRPr="00B161D3">
        <w:rPr>
          <w:rFonts w:ascii="Avenir Next" w:hAnsi="Avenir Next"/>
        </w:rPr>
        <w:t>David W. Lewis</w:t>
      </w:r>
    </w:p>
    <w:p w14:paraId="29413614" w14:textId="77777777" w:rsidR="00B161D3" w:rsidRPr="00B161D3" w:rsidRDefault="00B161D3" w:rsidP="00B161D3">
      <w:pPr>
        <w:rPr>
          <w:rFonts w:ascii="Avenir Next" w:hAnsi="Avenir Next"/>
        </w:rPr>
      </w:pPr>
      <w:r w:rsidRPr="00B161D3">
        <w:rPr>
          <w:rFonts w:ascii="Avenir Next" w:hAnsi="Avenir Next"/>
        </w:rPr>
        <w:t>Dean of the IUPUI University Library</w:t>
      </w:r>
    </w:p>
    <w:p w14:paraId="45C45C5B" w14:textId="77777777" w:rsidR="00B161D3" w:rsidRPr="00B161D3" w:rsidRDefault="00B161D3" w:rsidP="00B161D3">
      <w:pPr>
        <w:rPr>
          <w:rFonts w:ascii="Avenir Next" w:hAnsi="Avenir Next"/>
        </w:rPr>
      </w:pPr>
      <w:r w:rsidRPr="00B161D3">
        <w:rPr>
          <w:rFonts w:ascii="Avenir Next" w:hAnsi="Avenir Next"/>
        </w:rPr>
        <w:t>dlewis@iupui.edu</w:t>
      </w:r>
    </w:p>
    <w:p w14:paraId="1917E6A7" w14:textId="77777777" w:rsidR="00B161D3" w:rsidRPr="00B161D3" w:rsidRDefault="00B161D3" w:rsidP="00B161D3">
      <w:pPr>
        <w:rPr>
          <w:rFonts w:ascii="Avenir Next" w:hAnsi="Avenir Next"/>
        </w:rPr>
      </w:pPr>
      <w:bookmarkStart w:id="0" w:name="_GoBack"/>
      <w:bookmarkEnd w:id="0"/>
    </w:p>
    <w:p w14:paraId="44F8551B" w14:textId="7E75F861" w:rsidR="00B161D3" w:rsidRPr="00B161D3" w:rsidRDefault="00153242" w:rsidP="00B161D3">
      <w:pPr>
        <w:rPr>
          <w:rFonts w:ascii="Avenir Next" w:hAnsi="Avenir Next"/>
        </w:rPr>
      </w:pPr>
      <w:r>
        <w:rPr>
          <w:rFonts w:ascii="Avenir Next" w:hAnsi="Avenir Next"/>
        </w:rPr>
        <w:t>DRAFT 2</w:t>
      </w:r>
      <w:r w:rsidR="00242305">
        <w:rPr>
          <w:rFonts w:ascii="Avenir Next" w:hAnsi="Avenir Next"/>
        </w:rPr>
        <w:t xml:space="preserve"> — </w:t>
      </w:r>
      <w:r>
        <w:rPr>
          <w:rFonts w:ascii="Avenir Next" w:hAnsi="Avenir Next"/>
        </w:rPr>
        <w:t>September</w:t>
      </w:r>
      <w:r w:rsidR="00E33CDC">
        <w:rPr>
          <w:rFonts w:ascii="Avenir Next" w:hAnsi="Avenir Next"/>
        </w:rPr>
        <w:t xml:space="preserve"> 6,</w:t>
      </w:r>
      <w:r w:rsidR="00B161D3" w:rsidRPr="00B161D3">
        <w:rPr>
          <w:rFonts w:ascii="Avenir Next" w:hAnsi="Avenir Next"/>
        </w:rPr>
        <w:t xml:space="preserve"> 2017</w:t>
      </w:r>
    </w:p>
    <w:p w14:paraId="05E5CEBE" w14:textId="77777777" w:rsidR="00B161D3" w:rsidRPr="00B161D3" w:rsidRDefault="00B161D3" w:rsidP="00B161D3">
      <w:pPr>
        <w:rPr>
          <w:rFonts w:ascii="Avenir Next" w:hAnsi="Avenir Next"/>
        </w:rPr>
      </w:pPr>
    </w:p>
    <w:p w14:paraId="6F9854BD" w14:textId="41F7D969" w:rsidR="00E65A96" w:rsidRPr="00E65A96" w:rsidRDefault="00B161D3" w:rsidP="00E65A96">
      <w:pPr>
        <w:rPr>
          <w:rFonts w:ascii="Avenir Next" w:eastAsia="Times New Roman" w:hAnsi="Avenir Next"/>
        </w:rPr>
      </w:pPr>
      <w:r w:rsidRPr="00E65A96">
        <w:rPr>
          <w:rFonts w:ascii="Avenir Next" w:hAnsi="Avenir Next" w:cs="Arial"/>
        </w:rPr>
        <w:t xml:space="preserve">© 2017 David W. Lewis. This work is licensed under a </w:t>
      </w:r>
      <w:hyperlink r:id="rId7" w:history="1">
        <w:r w:rsidR="00E65A96" w:rsidRPr="00E65A96">
          <w:rPr>
            <w:rStyle w:val="Hyperlink"/>
            <w:rFonts w:ascii="Avenir Next" w:eastAsia="Times New Roman" w:hAnsi="Avenir Next"/>
            <w:color w:val="0070C0"/>
          </w:rPr>
          <w:t>Creative Commons Attribution 4.0 International license</w:t>
        </w:r>
      </w:hyperlink>
    </w:p>
    <w:p w14:paraId="1474BF68" w14:textId="610A9F90" w:rsidR="00B161D3" w:rsidRDefault="00B161D3" w:rsidP="00B161D3">
      <w:pPr>
        <w:rPr>
          <w:rFonts w:ascii="Avenir Next" w:hAnsi="Avenir Next"/>
        </w:rPr>
      </w:pPr>
    </w:p>
    <w:p w14:paraId="0DB4C217" w14:textId="77777777" w:rsidR="00606BBD" w:rsidRDefault="00606BBD" w:rsidP="00B161D3">
      <w:pPr>
        <w:rPr>
          <w:rFonts w:ascii="Avenir Next" w:hAnsi="Avenir Next"/>
        </w:rPr>
      </w:pPr>
    </w:p>
    <w:p w14:paraId="5DDFA2BD" w14:textId="77777777" w:rsidR="00B161D3" w:rsidRDefault="00B161D3" w:rsidP="00B161D3">
      <w:pPr>
        <w:rPr>
          <w:rFonts w:ascii="Avenir Next" w:hAnsi="Avenir Next"/>
        </w:rPr>
      </w:pPr>
    </w:p>
    <w:p w14:paraId="0E43A338" w14:textId="41710A8C" w:rsidR="00606BBD" w:rsidRDefault="00606BBD" w:rsidP="00B161D3">
      <w:pPr>
        <w:rPr>
          <w:rFonts w:ascii="Avenir Next" w:hAnsi="Avenir Next"/>
        </w:rPr>
      </w:pPr>
      <w:r w:rsidRPr="00606BBD">
        <w:rPr>
          <w:rFonts w:ascii="Avenir Next" w:hAnsi="Avenir Next"/>
          <w:b/>
        </w:rPr>
        <w:t>The Commitment:</w:t>
      </w:r>
      <w:r>
        <w:rPr>
          <w:rFonts w:ascii="Avenir Next" w:hAnsi="Avenir Next"/>
        </w:rPr>
        <w:t xml:space="preserve"> Every academic library should commit to contribute 2.5% of its </w:t>
      </w:r>
      <w:r w:rsidR="00822BDC">
        <w:rPr>
          <w:rFonts w:ascii="Avenir Next" w:hAnsi="Avenir Next"/>
        </w:rPr>
        <w:t xml:space="preserve">total </w:t>
      </w:r>
      <w:r>
        <w:rPr>
          <w:rFonts w:ascii="Avenir Next" w:hAnsi="Avenir Next"/>
        </w:rPr>
        <w:t>budget to support the common infrastructure needed to create the open scholarly commons.</w:t>
      </w:r>
    </w:p>
    <w:p w14:paraId="53D955DD" w14:textId="77777777" w:rsidR="00606BBD" w:rsidRDefault="00606BBD" w:rsidP="00B161D3">
      <w:pPr>
        <w:rPr>
          <w:rFonts w:ascii="Avenir Next" w:hAnsi="Avenir Next"/>
        </w:rPr>
      </w:pPr>
    </w:p>
    <w:p w14:paraId="6B346C5E" w14:textId="77777777" w:rsidR="00053384" w:rsidRDefault="00053384" w:rsidP="00B161D3">
      <w:pPr>
        <w:rPr>
          <w:rFonts w:ascii="Avenir Next" w:hAnsi="Avenir Next"/>
        </w:rPr>
      </w:pPr>
    </w:p>
    <w:p w14:paraId="4FC8A0A3" w14:textId="0D32A6C4" w:rsidR="00053384" w:rsidRPr="00053384" w:rsidRDefault="00053384" w:rsidP="0087685F">
      <w:pPr>
        <w:rPr>
          <w:rFonts w:ascii="Avenir Next" w:hAnsi="Avenir Next"/>
          <w:b/>
        </w:rPr>
      </w:pPr>
      <w:r w:rsidRPr="00053384">
        <w:rPr>
          <w:rFonts w:ascii="Avenir Next" w:hAnsi="Avenir Next"/>
          <w:b/>
        </w:rPr>
        <w:t>Academic Libraries and the Open Scholarly Commons</w:t>
      </w:r>
    </w:p>
    <w:p w14:paraId="5EC7640E" w14:textId="77777777" w:rsidR="00053384" w:rsidRDefault="00053384" w:rsidP="0087685F">
      <w:pPr>
        <w:rPr>
          <w:rFonts w:ascii="Avenir Next" w:hAnsi="Avenir Next"/>
        </w:rPr>
      </w:pPr>
    </w:p>
    <w:p w14:paraId="0C34C967" w14:textId="7A527A8B" w:rsidR="0087685F" w:rsidRPr="000E1042" w:rsidRDefault="001C38DC" w:rsidP="00EE46D4">
      <w:pPr>
        <w:tabs>
          <w:tab w:val="left" w:pos="8730"/>
        </w:tabs>
        <w:ind w:left="360" w:right="720"/>
        <w:rPr>
          <w:rFonts w:ascii="Avenir Next" w:hAnsi="Avenir Next"/>
        </w:rPr>
      </w:pPr>
      <w:r w:rsidRPr="00BD079C">
        <w:rPr>
          <w:rFonts w:ascii="Avenir Next" w:hAnsi="Avenir Next"/>
          <w:bCs/>
        </w:rPr>
        <w:t xml:space="preserve">In the end, libraries can point out the fact that their future role actually points in in two, apparently opposite, yet deeply complementary directions: on the one hand, they plunge deeply into </w:t>
      </w:r>
      <w:r w:rsidRPr="00784F50">
        <w:rPr>
          <w:rFonts w:ascii="Avenir Next" w:hAnsi="Avenir Next"/>
          <w:bCs/>
        </w:rPr>
        <w:t xml:space="preserve">the local production scenes since they aim at systematically sweeping, storing, preserving, and curating all that is produced in their hosting institution; </w:t>
      </w:r>
      <w:r w:rsidRPr="00B12FA4">
        <w:rPr>
          <w:rFonts w:ascii="Avenir Next" w:hAnsi="Avenir Next"/>
          <w:bCs/>
          <w:color w:val="000000" w:themeColor="text1"/>
        </w:rPr>
        <w:t xml:space="preserve">at the same time, the libraries, with their sister institutions, are involved in the task of ensuring a vibrant knowledge-nurturing life for their documents: they will circulate, be </w:t>
      </w:r>
      <w:r w:rsidRPr="000E1042">
        <w:rPr>
          <w:rFonts w:ascii="Avenir Next" w:hAnsi="Avenir Next"/>
          <w:bCs/>
          <w:color w:val="000000" w:themeColor="text1"/>
        </w:rPr>
        <w:t>discoverable, be interoperable, be evaluated, etc. With the first function, each library ensures its safe and strong function within its host institution; with the second function, the libraries connect to bring the knowledge infrastructure that we all really need.</w:t>
      </w:r>
      <w:r w:rsidR="0087685F" w:rsidRPr="000E1042">
        <w:rPr>
          <w:rFonts w:ascii="Avenir Next" w:hAnsi="Avenir Next"/>
          <w:bCs/>
          <w:color w:val="000000" w:themeColor="text1"/>
        </w:rPr>
        <w:t xml:space="preserve"> — </w:t>
      </w:r>
      <w:r w:rsidR="0087685F" w:rsidRPr="000E1042">
        <w:rPr>
          <w:rFonts w:ascii="Avenir Next" w:hAnsi="Avenir Next"/>
        </w:rPr>
        <w:t>Jean-Claude Guédon</w:t>
      </w:r>
      <w:r w:rsidR="0087685F" w:rsidRPr="000E1042">
        <w:rPr>
          <w:rStyle w:val="EndnoteReference"/>
          <w:rFonts w:ascii="Avenir Next" w:hAnsi="Avenir Next"/>
          <w:bCs/>
          <w:color w:val="000000" w:themeColor="text1"/>
        </w:rPr>
        <w:endnoteReference w:id="1"/>
      </w:r>
    </w:p>
    <w:p w14:paraId="294CAB35" w14:textId="77777777" w:rsidR="0087685F" w:rsidRPr="000E1042" w:rsidRDefault="0087685F" w:rsidP="00EE46D4">
      <w:pPr>
        <w:ind w:left="360"/>
        <w:rPr>
          <w:rFonts w:ascii="Avenir Next" w:hAnsi="Avenir Next"/>
        </w:rPr>
      </w:pPr>
    </w:p>
    <w:p w14:paraId="7D50CB5E" w14:textId="77777777" w:rsidR="0087685F" w:rsidRPr="000E1042" w:rsidRDefault="0087685F" w:rsidP="00EE46D4">
      <w:pPr>
        <w:tabs>
          <w:tab w:val="left" w:pos="8730"/>
        </w:tabs>
        <w:ind w:left="360"/>
        <w:rPr>
          <w:rFonts w:ascii="Avenir Next" w:eastAsia="Times New Roman" w:hAnsi="Avenir Next"/>
          <w:bCs/>
          <w:color w:val="333333"/>
          <w:shd w:val="clear" w:color="auto" w:fill="FFFFFF"/>
        </w:rPr>
      </w:pPr>
      <w:r w:rsidRPr="000E1042">
        <w:rPr>
          <w:rFonts w:ascii="Avenir Next" w:eastAsia="Times New Roman" w:hAnsi="Avenir Next"/>
          <w:bCs/>
          <w:color w:val="333333"/>
          <w:shd w:val="clear" w:color="auto" w:fill="FFFFFF"/>
        </w:rPr>
        <w:t>In the Internet era information will be free, the only question remaining is who pays for that freedom. — Kalev Leetaru</w:t>
      </w:r>
      <w:r w:rsidRPr="000E1042">
        <w:rPr>
          <w:rStyle w:val="EndnoteReference"/>
          <w:rFonts w:ascii="Avenir Next" w:eastAsia="Times New Roman" w:hAnsi="Avenir Next"/>
          <w:bCs/>
          <w:color w:val="333333"/>
          <w:shd w:val="clear" w:color="auto" w:fill="FFFFFF"/>
        </w:rPr>
        <w:endnoteReference w:id="2"/>
      </w:r>
    </w:p>
    <w:p w14:paraId="5BEF2204" w14:textId="77777777" w:rsidR="000E1042" w:rsidRPr="000E1042" w:rsidRDefault="000E1042" w:rsidP="0087685F">
      <w:pPr>
        <w:tabs>
          <w:tab w:val="left" w:pos="8730"/>
        </w:tabs>
        <w:ind w:right="720"/>
        <w:rPr>
          <w:rFonts w:ascii="Avenir Next" w:hAnsi="Avenir Next"/>
          <w:bCs/>
          <w:color w:val="000000" w:themeColor="text1"/>
        </w:rPr>
      </w:pPr>
    </w:p>
    <w:p w14:paraId="1D370579" w14:textId="77777777" w:rsidR="009A3617" w:rsidRDefault="00EE46D4" w:rsidP="006C6837">
      <w:pPr>
        <w:rPr>
          <w:rFonts w:ascii="Avenir Next" w:eastAsia="Times New Roman" w:hAnsi="Avenir Next"/>
          <w:color w:val="000000" w:themeColor="text1"/>
          <w:shd w:val="clear" w:color="auto" w:fill="FFFFFF"/>
        </w:rPr>
      </w:pPr>
      <w:r w:rsidRPr="000E1042">
        <w:rPr>
          <w:rFonts w:ascii="Avenir Next" w:hAnsi="Avenir Next"/>
        </w:rPr>
        <w:t xml:space="preserve">The two quotes </w:t>
      </w:r>
      <w:r w:rsidR="000E1042" w:rsidRPr="000E1042">
        <w:rPr>
          <w:rFonts w:ascii="Avenir Next" w:hAnsi="Avenir Next"/>
        </w:rPr>
        <w:t>define the challenge academic libraries currently face.  Jean-Claude Guédon</w:t>
      </w:r>
      <w:r w:rsidR="000E1042">
        <w:rPr>
          <w:rFonts w:ascii="Avenir Next" w:hAnsi="Avenir Next"/>
        </w:rPr>
        <w:t xml:space="preserve"> in his Budapest Open Access Initiative </w:t>
      </w:r>
      <w:r w:rsidR="000E1042" w:rsidRPr="000E1042">
        <w:rPr>
          <w:rFonts w:ascii="Avenir Next" w:hAnsi="Avenir Next"/>
          <w:color w:val="000000" w:themeColor="text1"/>
        </w:rPr>
        <w:t>15 Statement</w:t>
      </w:r>
      <w:r w:rsidR="006C6837">
        <w:rPr>
          <w:rFonts w:ascii="Avenir Next" w:hAnsi="Avenir Next"/>
          <w:color w:val="000000" w:themeColor="text1"/>
        </w:rPr>
        <w:t xml:space="preserve"> nicely describes the </w:t>
      </w:r>
      <w:r w:rsidR="006C6837">
        <w:rPr>
          <w:rFonts w:ascii="Avenir Next" w:hAnsi="Avenir Next"/>
          <w:color w:val="000000" w:themeColor="text1"/>
        </w:rPr>
        <w:lastRenderedPageBreak/>
        <w:t xml:space="preserve">world that needs to be created.  </w:t>
      </w:r>
      <w:r w:rsidR="006C6837" w:rsidRPr="005D5ADC">
        <w:rPr>
          <w:rFonts w:ascii="Avenir Next" w:eastAsia="Times New Roman" w:hAnsi="Avenir Next"/>
          <w:color w:val="000000" w:themeColor="text1"/>
          <w:shd w:val="clear" w:color="auto" w:fill="FFFFFF"/>
        </w:rPr>
        <w:t xml:space="preserve">Locan Dempsey has </w:t>
      </w:r>
      <w:r w:rsidR="006C6837">
        <w:rPr>
          <w:rFonts w:ascii="Avenir Next" w:eastAsia="Times New Roman" w:hAnsi="Avenir Next"/>
          <w:color w:val="000000" w:themeColor="text1"/>
          <w:shd w:val="clear" w:color="auto" w:fill="FFFFFF"/>
        </w:rPr>
        <w:t>framed this as moving form an “Outside-In” strategy to an “Inside-O</w:t>
      </w:r>
      <w:r w:rsidR="006C6837" w:rsidRPr="005D5ADC">
        <w:rPr>
          <w:rFonts w:ascii="Avenir Next" w:eastAsia="Times New Roman" w:hAnsi="Avenir Next"/>
          <w:color w:val="000000" w:themeColor="text1"/>
          <w:shd w:val="clear" w:color="auto" w:fill="FFFFFF"/>
        </w:rPr>
        <w:t>ut” strategy.</w:t>
      </w:r>
      <w:r w:rsidR="006C6837" w:rsidRPr="005D5ADC">
        <w:rPr>
          <w:rStyle w:val="EndnoteReference"/>
          <w:rFonts w:ascii="Avenir Next" w:eastAsia="Times New Roman" w:hAnsi="Avenir Next"/>
          <w:color w:val="000000" w:themeColor="text1"/>
          <w:shd w:val="clear" w:color="auto" w:fill="FFFFFF"/>
        </w:rPr>
        <w:endnoteReference w:id="3"/>
      </w:r>
      <w:r w:rsidR="006C6837" w:rsidRPr="005D5ADC">
        <w:rPr>
          <w:rFonts w:ascii="Avenir Next" w:eastAsia="Times New Roman" w:hAnsi="Avenir Next"/>
          <w:color w:val="000000" w:themeColor="text1"/>
          <w:shd w:val="clear" w:color="auto" w:fill="FFFFFF"/>
        </w:rPr>
        <w:t xml:space="preserve">  </w:t>
      </w:r>
      <w:r w:rsidR="006C6837">
        <w:rPr>
          <w:rFonts w:ascii="Avenir Next" w:eastAsia="Times New Roman" w:hAnsi="Avenir Next"/>
          <w:color w:val="000000" w:themeColor="text1"/>
          <w:shd w:val="clear" w:color="auto" w:fill="FFFFFF"/>
        </w:rPr>
        <w:t xml:space="preserve"> </w:t>
      </w:r>
    </w:p>
    <w:p w14:paraId="55C1003E" w14:textId="77777777" w:rsidR="009A3617" w:rsidRDefault="009A3617" w:rsidP="006C6837">
      <w:pPr>
        <w:rPr>
          <w:rFonts w:ascii="Avenir Next" w:eastAsia="Times New Roman" w:hAnsi="Avenir Next"/>
          <w:color w:val="000000" w:themeColor="text1"/>
          <w:shd w:val="clear" w:color="auto" w:fill="FFFFFF"/>
        </w:rPr>
      </w:pPr>
    </w:p>
    <w:p w14:paraId="456FC522" w14:textId="6833227D" w:rsidR="006C6837" w:rsidRPr="00BD079C" w:rsidRDefault="00053384" w:rsidP="006C6837">
      <w:pPr>
        <w:rPr>
          <w:rFonts w:ascii="Avenir Next" w:hAnsi="Avenir Next"/>
        </w:rPr>
      </w:pPr>
      <w:r>
        <w:rPr>
          <w:rFonts w:ascii="Avenir Next" w:hAnsi="Avenir Next"/>
        </w:rPr>
        <w:t>What we</w:t>
      </w:r>
      <w:r w:rsidR="009A3617">
        <w:rPr>
          <w:rFonts w:ascii="Avenir Next" w:hAnsi="Avenir Next"/>
        </w:rPr>
        <w:t>, as the academic library community,</w:t>
      </w:r>
      <w:r w:rsidR="006C6837">
        <w:rPr>
          <w:rFonts w:ascii="Avenir Next" w:hAnsi="Avenir Next"/>
        </w:rPr>
        <w:t xml:space="preserve"> want to create </w:t>
      </w:r>
      <w:r>
        <w:rPr>
          <w:rFonts w:ascii="Avenir Next" w:hAnsi="Avenir Next"/>
        </w:rPr>
        <w:t xml:space="preserve">is </w:t>
      </w:r>
      <w:r w:rsidR="00B0495B">
        <w:rPr>
          <w:rFonts w:ascii="Avenir Next" w:hAnsi="Avenir Next"/>
        </w:rPr>
        <w:t xml:space="preserve">an open scholarly commons that will </w:t>
      </w:r>
      <w:r w:rsidR="006C6837">
        <w:rPr>
          <w:rFonts w:ascii="Avenir Next" w:hAnsi="Avenir Next"/>
        </w:rPr>
        <w:t>be digit</w:t>
      </w:r>
      <w:r w:rsidR="00B0495B">
        <w:rPr>
          <w:rFonts w:ascii="Avenir Next" w:hAnsi="Avenir Next"/>
        </w:rPr>
        <w:t>al and distributed with c</w:t>
      </w:r>
      <w:r w:rsidR="006C6837">
        <w:rPr>
          <w:rFonts w:ascii="Avenir Next" w:hAnsi="Avenir Next"/>
        </w:rPr>
        <w:t xml:space="preserve">olleges, universities, cultural heritage organizations, scholarly societies, foundations, </w:t>
      </w:r>
      <w:r w:rsidR="006C6837" w:rsidRPr="00251D87">
        <w:rPr>
          <w:rFonts w:ascii="Avenir Next" w:hAnsi="Avenir Next"/>
        </w:rPr>
        <w:t xml:space="preserve">and governments </w:t>
      </w:r>
      <w:r w:rsidR="006C6837">
        <w:rPr>
          <w:rFonts w:ascii="Avenir Next" w:hAnsi="Avenir Next"/>
        </w:rPr>
        <w:t>host</w:t>
      </w:r>
      <w:r w:rsidR="00B0495B">
        <w:rPr>
          <w:rFonts w:ascii="Avenir Next" w:hAnsi="Avenir Next"/>
        </w:rPr>
        <w:t>ing</w:t>
      </w:r>
      <w:r w:rsidR="006C6837" w:rsidRPr="00251D87">
        <w:rPr>
          <w:rFonts w:ascii="Avenir Next" w:hAnsi="Avenir Next"/>
        </w:rPr>
        <w:t xml:space="preserve"> the content created, funded, or of interest to them in repositories that would make the content openly available to the world.  </w:t>
      </w:r>
      <w:r w:rsidR="00B0495B">
        <w:rPr>
          <w:rFonts w:ascii="Avenir Next" w:hAnsi="Avenir Next"/>
        </w:rPr>
        <w:t>T</w:t>
      </w:r>
      <w:r w:rsidR="006C6837">
        <w:rPr>
          <w:rFonts w:ascii="Avenir Next" w:hAnsi="Avenir Next"/>
        </w:rPr>
        <w:t>his</w:t>
      </w:r>
      <w:r w:rsidR="006C6837" w:rsidRPr="00251D87">
        <w:rPr>
          <w:rFonts w:ascii="Avenir Next" w:hAnsi="Avenir Next"/>
        </w:rPr>
        <w:t xml:space="preserve"> community would </w:t>
      </w:r>
      <w:r w:rsidR="006C6837">
        <w:rPr>
          <w:rFonts w:ascii="Avenir Next" w:hAnsi="Avenir Next"/>
        </w:rPr>
        <w:t xml:space="preserve">fund and </w:t>
      </w:r>
      <w:r w:rsidR="006C6837" w:rsidRPr="00251D87">
        <w:rPr>
          <w:rFonts w:ascii="Avenir Next" w:hAnsi="Avenir Next"/>
        </w:rPr>
        <w:t>support the common infrastructure need</w:t>
      </w:r>
      <w:r w:rsidR="006C6837">
        <w:rPr>
          <w:rFonts w:ascii="Avenir Next" w:hAnsi="Avenir Next"/>
        </w:rPr>
        <w:t>ed</w:t>
      </w:r>
      <w:r w:rsidR="006C6837" w:rsidRPr="00251D87">
        <w:rPr>
          <w:rFonts w:ascii="Avenir Next" w:hAnsi="Avenir Next"/>
        </w:rPr>
        <w:t xml:space="preserve"> </w:t>
      </w:r>
      <w:r w:rsidR="00B0495B">
        <w:rPr>
          <w:rFonts w:ascii="Avenir Next" w:hAnsi="Avenir Next"/>
        </w:rPr>
        <w:t>for discovery, access, and preservation</w:t>
      </w:r>
      <w:r w:rsidR="006C6837" w:rsidRPr="00251D87">
        <w:rPr>
          <w:rFonts w:ascii="Avenir Next" w:hAnsi="Avenir Next"/>
        </w:rPr>
        <w:t>.</w:t>
      </w:r>
      <w:r w:rsidR="006C6837">
        <w:rPr>
          <w:rFonts w:ascii="Avenir Next" w:hAnsi="Avenir Next"/>
        </w:rPr>
        <w:t xml:space="preserve">  </w:t>
      </w:r>
      <w:r w:rsidR="006C6837" w:rsidRPr="00251D87">
        <w:rPr>
          <w:rFonts w:ascii="Avenir Next" w:hAnsi="Avenir Next"/>
        </w:rPr>
        <w:t xml:space="preserve">Collectively </w:t>
      </w:r>
      <w:r w:rsidR="0020736B">
        <w:rPr>
          <w:rFonts w:ascii="Avenir Next" w:hAnsi="Avenir Next"/>
        </w:rPr>
        <w:t>we</w:t>
      </w:r>
      <w:r w:rsidR="006C6837" w:rsidRPr="00251D87">
        <w:rPr>
          <w:rFonts w:ascii="Avenir Next" w:hAnsi="Avenir Next"/>
        </w:rPr>
        <w:t xml:space="preserve"> would take responsibility for curating and preserving the world’s scientific, sch</w:t>
      </w:r>
      <w:r w:rsidR="006C6837">
        <w:rPr>
          <w:rFonts w:ascii="Avenir Next" w:hAnsi="Avenir Next"/>
        </w:rPr>
        <w:t>olarly, and cultural h</w:t>
      </w:r>
      <w:r w:rsidR="006C6837" w:rsidRPr="00BD079C">
        <w:rPr>
          <w:rFonts w:ascii="Avenir Next" w:hAnsi="Avenir Next"/>
        </w:rPr>
        <w:t xml:space="preserve">eritage thus making it </w:t>
      </w:r>
      <w:r w:rsidR="006C6837">
        <w:rPr>
          <w:rFonts w:ascii="Avenir Next" w:hAnsi="Avenir Next"/>
        </w:rPr>
        <w:t xml:space="preserve">discoverable and </w:t>
      </w:r>
      <w:r w:rsidR="006C6837" w:rsidRPr="00BD079C">
        <w:rPr>
          <w:rFonts w:ascii="Avenir Next" w:hAnsi="Avenir Next"/>
        </w:rPr>
        <w:t>freely available to e</w:t>
      </w:r>
      <w:r w:rsidR="006C6837">
        <w:rPr>
          <w:rFonts w:ascii="Avenir Next" w:hAnsi="Avenir Next"/>
        </w:rPr>
        <w:t>veryone in the world now and in</w:t>
      </w:r>
      <w:r w:rsidR="006C6837" w:rsidRPr="00BD079C">
        <w:rPr>
          <w:rFonts w:ascii="Avenir Next" w:hAnsi="Avenir Next"/>
        </w:rPr>
        <w:t xml:space="preserve"> the future.</w:t>
      </w:r>
      <w:r w:rsidR="00B0495B">
        <w:rPr>
          <w:rFonts w:ascii="Avenir Next" w:hAnsi="Avenir Next"/>
        </w:rPr>
        <w:t xml:space="preserve">  This is the vision and it is the easy part.  The hard part is Leetaru’s question: Who will pay for it?</w:t>
      </w:r>
    </w:p>
    <w:p w14:paraId="583B9364" w14:textId="0A98E1BF" w:rsidR="001C38DC" w:rsidRPr="000E1042" w:rsidRDefault="001C38DC" w:rsidP="000E1042">
      <w:pPr>
        <w:rPr>
          <w:rFonts w:ascii="Avenir Next" w:eastAsia="Times New Roman" w:hAnsi="Avenir Next"/>
        </w:rPr>
      </w:pPr>
    </w:p>
    <w:p w14:paraId="509AE151" w14:textId="345AD34E" w:rsidR="00053384" w:rsidRDefault="00053384" w:rsidP="00053384">
      <w:pPr>
        <w:rPr>
          <w:rFonts w:ascii="Avenir Next" w:hAnsi="Avenir Next"/>
        </w:rPr>
      </w:pPr>
      <w:r>
        <w:rPr>
          <w:rFonts w:ascii="Avenir Next" w:hAnsi="Avenir Next"/>
          <w:color w:val="000000" w:themeColor="text1"/>
        </w:rPr>
        <w:t xml:space="preserve">The short answer is that much of the funding for the open scholarly commons must come from academic libraries.  While librarians always feel financially </w:t>
      </w:r>
      <w:r w:rsidRPr="005D5ADC">
        <w:rPr>
          <w:rFonts w:ascii="Avenir Next" w:hAnsi="Avenir Next"/>
          <w:color w:val="000000" w:themeColor="text1"/>
        </w:rPr>
        <w:t xml:space="preserve">stretched, </w:t>
      </w:r>
      <w:r>
        <w:rPr>
          <w:rFonts w:ascii="Avenir Next" w:hAnsi="Avenir Next"/>
          <w:color w:val="000000" w:themeColor="text1"/>
        </w:rPr>
        <w:t xml:space="preserve">the truth is </w:t>
      </w:r>
      <w:r w:rsidRPr="005D5ADC">
        <w:rPr>
          <w:rFonts w:ascii="Avenir Next" w:hAnsi="Avenir Next"/>
          <w:color w:val="000000" w:themeColor="text1"/>
        </w:rPr>
        <w:t xml:space="preserve">academic libraries have considerable resources at their disposal.  According to the </w:t>
      </w:r>
      <w:r w:rsidRPr="005D5ADC">
        <w:rPr>
          <w:rFonts w:ascii="Avenir Next" w:hAnsi="Avenir Next" w:cs="Tahoma"/>
          <w:color w:val="000000" w:themeColor="text1"/>
        </w:rPr>
        <w:t>National Center for Educational Statistics, i</w:t>
      </w:r>
      <w:r w:rsidRPr="005D5ADC">
        <w:rPr>
          <w:rFonts w:ascii="Avenir Next" w:hAnsi="Avenir Next"/>
          <w:color w:val="000000" w:themeColor="text1"/>
        </w:rPr>
        <w:t xml:space="preserve">n 2012, the latest year for which statistics have been published, 3,793 academic libraries in the United States spent </w:t>
      </w:r>
      <w:r w:rsidRPr="005D5ADC">
        <w:rPr>
          <w:rFonts w:ascii="Avenir Next" w:hAnsi="Avenir Next" w:cs="TimesNewRomanPSMT"/>
          <w:color w:val="000000" w:themeColor="text1"/>
        </w:rPr>
        <w:t>$2,790,039,494 on information resources and had total expenditures of $7,008,113,939.</w:t>
      </w:r>
      <w:r w:rsidRPr="005D5ADC">
        <w:rPr>
          <w:rStyle w:val="EndnoteReference"/>
          <w:rFonts w:ascii="Avenir Next" w:hAnsi="Avenir Next" w:cs="TimesNewRomanPSMT"/>
          <w:color w:val="000000" w:themeColor="text1"/>
        </w:rPr>
        <w:endnoteReference w:id="4"/>
      </w:r>
      <w:r w:rsidRPr="005D5ADC">
        <w:rPr>
          <w:rFonts w:ascii="Avenir Next" w:hAnsi="Avenir Next" w:cs="TimesNewRomanPSMT"/>
          <w:color w:val="000000" w:themeColor="text1"/>
        </w:rPr>
        <w:t xml:space="preserve">  In 2014/15 the 124 members of the Associ</w:t>
      </w:r>
      <w:r w:rsidR="00653EAA">
        <w:rPr>
          <w:rFonts w:ascii="Avenir Next" w:hAnsi="Avenir Next" w:cs="TimesNewRomanPSMT"/>
          <w:color w:val="000000" w:themeColor="text1"/>
        </w:rPr>
        <w:t>ation of Research Libraries had</w:t>
      </w:r>
      <w:r w:rsidRPr="005D5ADC">
        <w:rPr>
          <w:rFonts w:ascii="Avenir Next" w:hAnsi="Avenir Next" w:cs="TimesNewRomanPSMT"/>
          <w:color w:val="000000" w:themeColor="text1"/>
        </w:rPr>
        <w:t xml:space="preserve"> total expenditures $4,605,470,905, with $1,619,589,599 spent on library materials.</w:t>
      </w:r>
      <w:r w:rsidRPr="005D5ADC">
        <w:rPr>
          <w:rStyle w:val="EndnoteReference"/>
          <w:rFonts w:ascii="Avenir Next" w:hAnsi="Avenir Next" w:cs="TimesNewRomanPSMT"/>
          <w:color w:val="000000" w:themeColor="text1"/>
        </w:rPr>
        <w:endnoteReference w:id="5"/>
      </w:r>
      <w:r w:rsidR="00653EAA">
        <w:rPr>
          <w:rFonts w:ascii="Avenir Next" w:hAnsi="Avenir Next" w:cs="TimesNewRomanPSMT"/>
          <w:color w:val="000000" w:themeColor="text1"/>
        </w:rPr>
        <w:t xml:space="preserve">  There is money.  The critical question</w:t>
      </w:r>
      <w:r w:rsidR="00891A51">
        <w:rPr>
          <w:rFonts w:ascii="Avenir Next" w:hAnsi="Avenir Next" w:cs="TimesNewRomanPSMT"/>
          <w:color w:val="000000" w:themeColor="text1"/>
        </w:rPr>
        <w:t xml:space="preserve"> is</w:t>
      </w:r>
      <w:r w:rsidR="00653EAA">
        <w:rPr>
          <w:rFonts w:ascii="Avenir Next" w:hAnsi="Avenir Next" w:cs="TimesNewRomanPSMT"/>
          <w:color w:val="000000" w:themeColor="text1"/>
        </w:rPr>
        <w:t>: Is</w:t>
      </w:r>
      <w:r w:rsidR="00891A51">
        <w:rPr>
          <w:rFonts w:ascii="Avenir Next" w:hAnsi="Avenir Next" w:cs="TimesNewRomanPSMT"/>
          <w:color w:val="000000" w:themeColor="text1"/>
        </w:rPr>
        <w:t xml:space="preserve"> the academic library community prepared to reallocate enough of it to accomplish what needs to be done?</w:t>
      </w:r>
    </w:p>
    <w:p w14:paraId="18E7863C" w14:textId="4743480C" w:rsidR="00543E15" w:rsidRDefault="00543E15" w:rsidP="00543E15">
      <w:pPr>
        <w:rPr>
          <w:rFonts w:ascii="Avenir Next" w:eastAsia="Times New Roman" w:hAnsi="Avenir Next"/>
        </w:rPr>
      </w:pPr>
    </w:p>
    <w:p w14:paraId="7A11D363" w14:textId="77777777" w:rsidR="00543E15" w:rsidRDefault="00543E15" w:rsidP="00B161D3">
      <w:pPr>
        <w:rPr>
          <w:rFonts w:ascii="Avenir Next" w:hAnsi="Avenir Next"/>
        </w:rPr>
      </w:pPr>
    </w:p>
    <w:p w14:paraId="2FAB13A0" w14:textId="4057E964" w:rsidR="00891A51" w:rsidRPr="00891A51" w:rsidRDefault="00891A51" w:rsidP="00B161D3">
      <w:pPr>
        <w:rPr>
          <w:rFonts w:ascii="Avenir Next" w:hAnsi="Avenir Next"/>
          <w:b/>
        </w:rPr>
      </w:pPr>
      <w:r>
        <w:rPr>
          <w:rFonts w:ascii="Avenir Next" w:hAnsi="Avenir Next"/>
          <w:b/>
        </w:rPr>
        <w:t>The Dilemma of Collective Ac</w:t>
      </w:r>
      <w:r w:rsidRPr="00891A51">
        <w:rPr>
          <w:rFonts w:ascii="Avenir Next" w:hAnsi="Avenir Next"/>
          <w:b/>
        </w:rPr>
        <w:t>tion</w:t>
      </w:r>
    </w:p>
    <w:p w14:paraId="67732212" w14:textId="77777777" w:rsidR="00B161D3" w:rsidRDefault="00B161D3" w:rsidP="00B161D3">
      <w:pPr>
        <w:rPr>
          <w:rFonts w:ascii="Avenir Next" w:hAnsi="Avenir Next"/>
        </w:rPr>
      </w:pPr>
    </w:p>
    <w:p w14:paraId="46EEFE94" w14:textId="2A7CC075" w:rsidR="00B161D3" w:rsidRDefault="00891A51" w:rsidP="00B161D3">
      <w:pPr>
        <w:rPr>
          <w:rFonts w:ascii="Avenir Next" w:hAnsi="Avenir Next"/>
        </w:rPr>
      </w:pPr>
      <w:r>
        <w:rPr>
          <w:rFonts w:ascii="Avenir Next" w:hAnsi="Avenir Next"/>
        </w:rPr>
        <w:t xml:space="preserve">In a 2017 </w:t>
      </w:r>
      <w:r w:rsidRPr="00891A51">
        <w:rPr>
          <w:rFonts w:ascii="Avenir Next" w:hAnsi="Avenir Next"/>
          <w:i/>
        </w:rPr>
        <w:t>College &amp; Research Libraries</w:t>
      </w:r>
      <w:r>
        <w:rPr>
          <w:rFonts w:ascii="Avenir Next" w:hAnsi="Avenir Next"/>
        </w:rPr>
        <w:t xml:space="preserve"> article </w:t>
      </w:r>
      <w:r w:rsidR="00B161D3">
        <w:rPr>
          <w:rFonts w:ascii="Avenir Next" w:hAnsi="Avenir Next"/>
        </w:rPr>
        <w:t>John Wenzl</w:t>
      </w:r>
      <w:r w:rsidR="00B161D3" w:rsidRPr="001F0484">
        <w:rPr>
          <w:rFonts w:ascii="Avenir Next" w:hAnsi="Avenir Next"/>
        </w:rPr>
        <w:t xml:space="preserve">er argues that </w:t>
      </w:r>
      <w:r w:rsidR="00B161D3">
        <w:rPr>
          <w:rFonts w:ascii="Avenir Next" w:hAnsi="Avenir Next"/>
        </w:rPr>
        <w:t xml:space="preserve">academic libraries face </w:t>
      </w:r>
      <w:r w:rsidR="00B161D3" w:rsidRPr="001F0484">
        <w:rPr>
          <w:rFonts w:ascii="Avenir Next" w:hAnsi="Avenir Next"/>
        </w:rPr>
        <w:t xml:space="preserve">the dilemma of collective action will make </w:t>
      </w:r>
      <w:r w:rsidR="00B161D3">
        <w:rPr>
          <w:rFonts w:ascii="Avenir Next" w:hAnsi="Avenir Next"/>
        </w:rPr>
        <w:t>creating the open scholarly commons</w:t>
      </w:r>
      <w:r w:rsidR="00B161D3" w:rsidRPr="001F0484">
        <w:rPr>
          <w:rFonts w:ascii="Avenir Next" w:hAnsi="Avenir Next"/>
        </w:rPr>
        <w:t xml:space="preserve"> difficult at best, and maybe impossible.  The temptation to free ride on the efforts of others will </w:t>
      </w:r>
      <w:r w:rsidR="003F69CC">
        <w:rPr>
          <w:rFonts w:ascii="Avenir Next" w:hAnsi="Avenir Next"/>
        </w:rPr>
        <w:t xml:space="preserve">be </w:t>
      </w:r>
      <w:r w:rsidR="00B161D3" w:rsidRPr="001F0484">
        <w:rPr>
          <w:rFonts w:ascii="Avenir Next" w:hAnsi="Avenir Next"/>
        </w:rPr>
        <w:t>to</w:t>
      </w:r>
      <w:r w:rsidR="003F69CC">
        <w:rPr>
          <w:rFonts w:ascii="Avenir Next" w:hAnsi="Avenir Next"/>
        </w:rPr>
        <w:t>o</w:t>
      </w:r>
      <w:r w:rsidR="00B161D3" w:rsidRPr="001F0484">
        <w:rPr>
          <w:rFonts w:ascii="Avenir Next" w:hAnsi="Avenir Next"/>
        </w:rPr>
        <w:t xml:space="preserve"> great and libraries will fail to make the necessary investments.  As he puts it the prospects of an open system are based on, “the hope that academic librarians will make decisions that violate their private, market-based incentives.”</w:t>
      </w:r>
      <w:r w:rsidR="00B161D3" w:rsidRPr="001F0484">
        <w:rPr>
          <w:rStyle w:val="EndnoteReference"/>
          <w:rFonts w:ascii="Avenir Next" w:hAnsi="Avenir Next"/>
        </w:rPr>
        <w:endnoteReference w:id="6"/>
      </w:r>
      <w:r w:rsidR="00B161D3">
        <w:rPr>
          <w:rFonts w:ascii="Avenir Next" w:hAnsi="Avenir Next"/>
        </w:rPr>
        <w:t xml:space="preserve">  Wenzl</w:t>
      </w:r>
      <w:r w:rsidR="00B161D3" w:rsidRPr="001F0484">
        <w:rPr>
          <w:rFonts w:ascii="Avenir Next" w:hAnsi="Avenir Next"/>
        </w:rPr>
        <w:t>er concludes</w:t>
      </w:r>
      <w:r w:rsidR="00B161D3">
        <w:rPr>
          <w:rFonts w:ascii="Avenir Next" w:hAnsi="Avenir Next"/>
        </w:rPr>
        <w:t xml:space="preserve"> his paper</w:t>
      </w:r>
      <w:r w:rsidR="00B161D3" w:rsidRPr="001F0484">
        <w:rPr>
          <w:rFonts w:ascii="Avenir Next" w:hAnsi="Avenir Next"/>
        </w:rPr>
        <w:t xml:space="preserve"> by saying, “For academic libraries to continue to achieve their traditional role of storing, organizing, preserving, and providing access to the scholarly record, they increasingly will have to take responsibility for the entire cycle of scholarly communication from publishing and editing through preservation, but it is unlikely that they will succeed in doing so through the uncoordinated actions of individual institutions and will require new experiments in cooperation and coordination.”</w:t>
      </w:r>
      <w:r w:rsidR="00B161D3">
        <w:rPr>
          <w:rStyle w:val="EndnoteReference"/>
          <w:rFonts w:ascii="Avenir Next" w:hAnsi="Avenir Next"/>
        </w:rPr>
        <w:endnoteReference w:id="7"/>
      </w:r>
      <w:r w:rsidR="00B161D3">
        <w:rPr>
          <w:rFonts w:ascii="Avenir Next" w:hAnsi="Avenir Next"/>
        </w:rPr>
        <w:t xml:space="preserve">  This is an important concern.  Academic libraries have a long history of cooperation</w:t>
      </w:r>
      <w:r w:rsidR="00E257DB">
        <w:rPr>
          <w:rFonts w:ascii="Avenir Next" w:hAnsi="Avenir Next"/>
        </w:rPr>
        <w:t>.  Interlibrary loan, shared cataloging (OCLC) and shared collections both physical and digital (the Center for Research Libraries and the HathiTrust) are examples</w:t>
      </w:r>
      <w:r w:rsidR="00B161D3">
        <w:rPr>
          <w:rFonts w:ascii="Avenir Next" w:hAnsi="Avenir Next"/>
        </w:rPr>
        <w:t xml:space="preserve">, but past cooperation has not generally required the level of financial commitment that will be </w:t>
      </w:r>
      <w:r w:rsidR="00653EAA">
        <w:rPr>
          <w:rFonts w:ascii="Avenir Next" w:hAnsi="Avenir Next"/>
        </w:rPr>
        <w:t xml:space="preserve">necessary </w:t>
      </w:r>
      <w:r w:rsidR="00B161D3">
        <w:rPr>
          <w:rFonts w:ascii="Avenir Next" w:hAnsi="Avenir Next"/>
        </w:rPr>
        <w:t xml:space="preserve">if the open scholarly commons is to come to fruition. </w:t>
      </w:r>
    </w:p>
    <w:p w14:paraId="42E52005" w14:textId="77777777" w:rsidR="00E257DB" w:rsidRDefault="00E257DB" w:rsidP="00B161D3">
      <w:pPr>
        <w:rPr>
          <w:rFonts w:ascii="Avenir Next" w:hAnsi="Avenir Next"/>
        </w:rPr>
      </w:pPr>
    </w:p>
    <w:p w14:paraId="6B0A28DF" w14:textId="64E7B545" w:rsidR="00E257DB" w:rsidRDefault="00E257DB" w:rsidP="00B161D3">
      <w:pPr>
        <w:rPr>
          <w:rFonts w:ascii="Avenir Next" w:hAnsi="Avenir Next"/>
        </w:rPr>
      </w:pPr>
      <w:r>
        <w:rPr>
          <w:rFonts w:ascii="Avenir Next" w:hAnsi="Avenir Next"/>
        </w:rPr>
        <w:t>If we are to prove Wenzler wrong, the academic library community will need to find incentives for individual academic libraries to make significant financial investments that are n</w:t>
      </w:r>
      <w:r w:rsidR="00653EAA">
        <w:rPr>
          <w:rFonts w:ascii="Avenir Next" w:hAnsi="Avenir Next"/>
        </w:rPr>
        <w:t>ot in their short-term interest.  I</w:t>
      </w:r>
      <w:r>
        <w:rPr>
          <w:rFonts w:ascii="Avenir Next" w:hAnsi="Avenir Next"/>
        </w:rPr>
        <w:t xml:space="preserve">mportantly, they will </w:t>
      </w:r>
      <w:r w:rsidR="00653EAA">
        <w:rPr>
          <w:rFonts w:ascii="Avenir Next" w:hAnsi="Avenir Next"/>
        </w:rPr>
        <w:t xml:space="preserve">also </w:t>
      </w:r>
      <w:r>
        <w:rPr>
          <w:rFonts w:ascii="Avenir Next" w:hAnsi="Avenir Next"/>
        </w:rPr>
        <w:t>need to be able to justify these investments to campus leadership</w:t>
      </w:r>
      <w:r w:rsidR="00653EAA">
        <w:rPr>
          <w:rFonts w:ascii="Avenir Next" w:hAnsi="Avenir Next"/>
        </w:rPr>
        <w:t xml:space="preserve"> in a time of fiscal constraint</w:t>
      </w:r>
      <w:r>
        <w:rPr>
          <w:rFonts w:ascii="Avenir Next" w:hAnsi="Avenir Next"/>
        </w:rPr>
        <w:t>.</w:t>
      </w:r>
    </w:p>
    <w:p w14:paraId="00D812E7" w14:textId="77777777" w:rsidR="00E257DB" w:rsidRDefault="00E257DB" w:rsidP="00B161D3">
      <w:pPr>
        <w:rPr>
          <w:rFonts w:ascii="Avenir Next" w:hAnsi="Avenir Next"/>
        </w:rPr>
      </w:pPr>
    </w:p>
    <w:p w14:paraId="301ECB79" w14:textId="77777777" w:rsidR="00495F37" w:rsidRDefault="00495F37" w:rsidP="00B161D3">
      <w:pPr>
        <w:rPr>
          <w:rFonts w:ascii="Avenir Next" w:hAnsi="Avenir Next"/>
        </w:rPr>
      </w:pPr>
    </w:p>
    <w:p w14:paraId="2870B541" w14:textId="7486A1F0" w:rsidR="00495F37" w:rsidRPr="00495F37" w:rsidRDefault="00495F37" w:rsidP="00B161D3">
      <w:pPr>
        <w:rPr>
          <w:rFonts w:ascii="Avenir Next" w:hAnsi="Avenir Next"/>
          <w:b/>
        </w:rPr>
      </w:pPr>
      <w:r w:rsidRPr="00495F37">
        <w:rPr>
          <w:rFonts w:ascii="Avenir Next" w:hAnsi="Avenir Next"/>
          <w:b/>
        </w:rPr>
        <w:t>The Proposal</w:t>
      </w:r>
    </w:p>
    <w:p w14:paraId="06E63F5B" w14:textId="77777777" w:rsidR="00495F37" w:rsidRDefault="00495F37" w:rsidP="00B161D3">
      <w:pPr>
        <w:rPr>
          <w:rFonts w:ascii="Avenir Next" w:hAnsi="Avenir Next"/>
        </w:rPr>
      </w:pPr>
    </w:p>
    <w:p w14:paraId="10C662A1" w14:textId="21DCAE80" w:rsidR="00773EA5" w:rsidRDefault="00E257DB" w:rsidP="00B161D3">
      <w:pPr>
        <w:rPr>
          <w:rFonts w:ascii="Avenir Next" w:hAnsi="Avenir Next"/>
        </w:rPr>
      </w:pPr>
      <w:r>
        <w:rPr>
          <w:rFonts w:ascii="Avenir Next" w:hAnsi="Avenir Next"/>
        </w:rPr>
        <w:t xml:space="preserve">One incentive could be a common </w:t>
      </w:r>
      <w:r w:rsidR="00653EAA">
        <w:rPr>
          <w:rFonts w:ascii="Avenir Next" w:hAnsi="Avenir Next"/>
        </w:rPr>
        <w:t xml:space="preserve">shared </w:t>
      </w:r>
      <w:r>
        <w:rPr>
          <w:rFonts w:ascii="Avenir Next" w:hAnsi="Avenir Next"/>
        </w:rPr>
        <w:t xml:space="preserve">expectation of contribution.  This is my proposal.  I would propose that </w:t>
      </w:r>
      <w:r w:rsidR="00495F37">
        <w:rPr>
          <w:rFonts w:ascii="Avenir Next" w:hAnsi="Avenir Next"/>
        </w:rPr>
        <w:t>every academic library should commit to contribute 2.5% of its</w:t>
      </w:r>
      <w:r w:rsidR="00822BDC">
        <w:rPr>
          <w:rFonts w:ascii="Avenir Next" w:hAnsi="Avenir Next"/>
        </w:rPr>
        <w:t xml:space="preserve"> total</w:t>
      </w:r>
      <w:r w:rsidR="00495F37">
        <w:rPr>
          <w:rFonts w:ascii="Avenir Next" w:hAnsi="Avenir Next"/>
        </w:rPr>
        <w:t xml:space="preserve"> budget to support the common infrastructure needed to create the open scholarly commons.</w:t>
      </w:r>
      <w:r w:rsidR="00653EAA">
        <w:rPr>
          <w:rFonts w:ascii="Avenir Next" w:hAnsi="Avenir Next"/>
        </w:rPr>
        <w:t xml:space="preserve">  </w:t>
      </w:r>
      <w:r w:rsidR="00653EAA">
        <w:rPr>
          <w:rStyle w:val="apple-converted-space"/>
          <w:rFonts w:ascii="Avenir Next" w:eastAsia="Times New Roman" w:hAnsi="Avenir Next" w:cs="Arial"/>
          <w:color w:val="000000"/>
          <w:shd w:val="clear" w:color="auto" w:fill="FFFFFF"/>
        </w:rPr>
        <w:t>2.5% may not seem like a lot, but it is likely to be more, and in many case much more, than most academic libraries are now dedicating to support of common infrastructure.</w:t>
      </w:r>
    </w:p>
    <w:p w14:paraId="25C273A9" w14:textId="77777777" w:rsidR="00773EA5" w:rsidRDefault="00773EA5" w:rsidP="00B161D3">
      <w:pPr>
        <w:rPr>
          <w:rFonts w:ascii="Avenir Next" w:hAnsi="Avenir Next"/>
        </w:rPr>
      </w:pPr>
    </w:p>
    <w:p w14:paraId="616AF326" w14:textId="73DDADD9" w:rsidR="00BD74D4" w:rsidRDefault="00653EAA" w:rsidP="00BD74D4">
      <w:pPr>
        <w:rPr>
          <w:rFonts w:ascii="Avenir Next" w:hAnsi="Avenir Next"/>
        </w:rPr>
      </w:pPr>
      <w:r>
        <w:rPr>
          <w:rFonts w:ascii="Avenir Next" w:hAnsi="Avenir Next"/>
        </w:rPr>
        <w:t>This</w:t>
      </w:r>
      <w:r w:rsidR="00114255">
        <w:rPr>
          <w:rFonts w:ascii="Avenir Next" w:hAnsi="Avenir Next"/>
        </w:rPr>
        <w:t xml:space="preserve"> common infrastructure can be defined broadly but it would include at least</w:t>
      </w:r>
      <w:r w:rsidR="00BD74D4">
        <w:rPr>
          <w:rFonts w:ascii="Avenir Next" w:hAnsi="Avenir Next"/>
        </w:rPr>
        <w:t xml:space="preserve"> contributions to</w:t>
      </w:r>
      <w:r w:rsidR="00114255">
        <w:rPr>
          <w:rFonts w:ascii="Avenir Next" w:hAnsi="Avenir Next"/>
        </w:rPr>
        <w:t>:</w:t>
      </w:r>
    </w:p>
    <w:p w14:paraId="6BFF5CC9" w14:textId="743D6357" w:rsidR="00495F37" w:rsidRDefault="00BD74D4" w:rsidP="00BD74D4">
      <w:pPr>
        <w:pStyle w:val="ListParagraph"/>
        <w:numPr>
          <w:ilvl w:val="0"/>
          <w:numId w:val="4"/>
        </w:numPr>
        <w:rPr>
          <w:rFonts w:ascii="Avenir Next" w:hAnsi="Avenir Next"/>
        </w:rPr>
      </w:pPr>
      <w:r>
        <w:rPr>
          <w:rFonts w:ascii="Avenir Next" w:hAnsi="Avenir Next"/>
        </w:rPr>
        <w:t>O</w:t>
      </w:r>
      <w:r w:rsidR="00114255" w:rsidRPr="00BD74D4">
        <w:rPr>
          <w:rFonts w:ascii="Avenir Next" w:hAnsi="Avenir Next"/>
        </w:rPr>
        <w:t xml:space="preserve">pen source software projects that support the open scholarly commons.  This would include projects like DSpace, Fedora, </w:t>
      </w:r>
      <w:r w:rsidR="00744DBB">
        <w:rPr>
          <w:rFonts w:ascii="Avenir Next" w:hAnsi="Avenir Next"/>
        </w:rPr>
        <w:t xml:space="preserve">Hyku, </w:t>
      </w:r>
      <w:r w:rsidRPr="00BD74D4">
        <w:rPr>
          <w:rFonts w:ascii="Avenir Next" w:hAnsi="Avenir Next"/>
        </w:rPr>
        <w:t>Open Journal System</w:t>
      </w:r>
      <w:r>
        <w:rPr>
          <w:rFonts w:ascii="Avenir Next" w:hAnsi="Avenir Next"/>
        </w:rPr>
        <w:t>, ArchivesSpace or Islandora.</w:t>
      </w:r>
    </w:p>
    <w:p w14:paraId="7148A1EB" w14:textId="1A63520C" w:rsidR="00BD74D4" w:rsidRPr="00CF733F" w:rsidRDefault="00C356EC" w:rsidP="00BD74D4">
      <w:pPr>
        <w:pStyle w:val="ListParagraph"/>
        <w:numPr>
          <w:ilvl w:val="0"/>
          <w:numId w:val="4"/>
        </w:numPr>
        <w:rPr>
          <w:rFonts w:ascii="Avenir Next" w:hAnsi="Avenir Next"/>
        </w:rPr>
      </w:pPr>
      <w:r w:rsidRPr="00CF733F">
        <w:rPr>
          <w:rFonts w:ascii="Avenir Next" w:hAnsi="Avenir Next"/>
        </w:rPr>
        <w:t>Disciplinary</w:t>
      </w:r>
      <w:r w:rsidR="00BD74D4" w:rsidRPr="00CF733F">
        <w:rPr>
          <w:rFonts w:ascii="Avenir Next" w:hAnsi="Avenir Next"/>
        </w:rPr>
        <w:t xml:space="preserve"> </w:t>
      </w:r>
      <w:r w:rsidRPr="00CF733F">
        <w:rPr>
          <w:rFonts w:ascii="Avenir Next" w:hAnsi="Avenir Next"/>
        </w:rPr>
        <w:t xml:space="preserve">repositories such as ArXiv, bioRxiv, or </w:t>
      </w:r>
      <w:r w:rsidR="00653EAA">
        <w:rPr>
          <w:rFonts w:ascii="Avenir Next" w:hAnsi="Avenir Next"/>
        </w:rPr>
        <w:t xml:space="preserve">the </w:t>
      </w:r>
      <w:r w:rsidRPr="00CF733F">
        <w:rPr>
          <w:rFonts w:ascii="Avenir Next" w:hAnsi="Avenir Next"/>
        </w:rPr>
        <w:t>Humanities Commons.</w:t>
      </w:r>
    </w:p>
    <w:p w14:paraId="2BADAC6F" w14:textId="640A18B0" w:rsidR="001369F7" w:rsidRPr="00CF733F" w:rsidRDefault="001369F7" w:rsidP="00BD74D4">
      <w:pPr>
        <w:pStyle w:val="ListParagraph"/>
        <w:numPr>
          <w:ilvl w:val="0"/>
          <w:numId w:val="4"/>
        </w:numPr>
        <w:rPr>
          <w:rFonts w:ascii="Avenir Next" w:hAnsi="Avenir Next"/>
        </w:rPr>
      </w:pPr>
      <w:r w:rsidRPr="00CF733F">
        <w:rPr>
          <w:rFonts w:ascii="Avenir Next" w:hAnsi="Avenir Next"/>
        </w:rPr>
        <w:t>Large repositories of open content such as HathiTrust or the Internet Archive.</w:t>
      </w:r>
    </w:p>
    <w:p w14:paraId="629AB477" w14:textId="53FDB84E" w:rsidR="001369F7" w:rsidRPr="00CF733F" w:rsidRDefault="00653EAA" w:rsidP="00BD74D4">
      <w:pPr>
        <w:pStyle w:val="ListParagraph"/>
        <w:numPr>
          <w:ilvl w:val="0"/>
          <w:numId w:val="4"/>
        </w:numPr>
        <w:rPr>
          <w:rFonts w:ascii="Avenir Next" w:hAnsi="Avenir Next"/>
        </w:rPr>
      </w:pPr>
      <w:r>
        <w:rPr>
          <w:rFonts w:ascii="Avenir Next" w:hAnsi="Avenir Next"/>
        </w:rPr>
        <w:t>Tools fro</w:t>
      </w:r>
      <w:r w:rsidR="00A51977">
        <w:rPr>
          <w:rFonts w:ascii="Avenir Next" w:hAnsi="Avenir Next"/>
        </w:rPr>
        <w:t xml:space="preserve">m </w:t>
      </w:r>
      <w:r w:rsidR="001369F7" w:rsidRPr="00CF733F">
        <w:rPr>
          <w:rFonts w:ascii="Avenir Next" w:hAnsi="Avenir Next"/>
        </w:rPr>
        <w:t xml:space="preserve">Wikipedia </w:t>
      </w:r>
      <w:r w:rsidR="00A51977">
        <w:rPr>
          <w:rFonts w:ascii="Avenir Next" w:hAnsi="Avenir Next"/>
        </w:rPr>
        <w:t>to the Open Access Button or Unpaywall</w:t>
      </w:r>
      <w:r w:rsidR="001369F7" w:rsidRPr="00CF733F">
        <w:rPr>
          <w:rFonts w:ascii="Avenir Next" w:hAnsi="Avenir Next"/>
        </w:rPr>
        <w:t>.</w:t>
      </w:r>
    </w:p>
    <w:p w14:paraId="2B566089" w14:textId="3241BEFB" w:rsidR="00345C28" w:rsidRPr="00CF733F" w:rsidRDefault="00345C28" w:rsidP="00BD74D4">
      <w:pPr>
        <w:pStyle w:val="ListParagraph"/>
        <w:numPr>
          <w:ilvl w:val="0"/>
          <w:numId w:val="4"/>
        </w:numPr>
        <w:rPr>
          <w:rFonts w:ascii="Avenir Next" w:hAnsi="Avenir Next"/>
        </w:rPr>
      </w:pPr>
      <w:r w:rsidRPr="00CF733F">
        <w:rPr>
          <w:rFonts w:ascii="Avenir Next" w:hAnsi="Avenir Next"/>
        </w:rPr>
        <w:t>Preservation organizations such as the Digital Preservation Network or the Academic Preservation Trust.</w:t>
      </w:r>
    </w:p>
    <w:p w14:paraId="166A7291" w14:textId="7EF19AFE" w:rsidR="00124260" w:rsidRPr="00CF733F" w:rsidRDefault="00124260" w:rsidP="00BD74D4">
      <w:pPr>
        <w:pStyle w:val="ListParagraph"/>
        <w:numPr>
          <w:ilvl w:val="0"/>
          <w:numId w:val="4"/>
        </w:numPr>
        <w:rPr>
          <w:rFonts w:ascii="Avenir Next" w:hAnsi="Avenir Next"/>
        </w:rPr>
      </w:pPr>
      <w:r w:rsidRPr="00CF733F">
        <w:rPr>
          <w:rFonts w:ascii="Avenir Next" w:hAnsi="Avenir Next"/>
        </w:rPr>
        <w:t>Open educational resources</w:t>
      </w:r>
      <w:r w:rsidR="002C4D8A" w:rsidRPr="00CF733F">
        <w:rPr>
          <w:rFonts w:ascii="Avenir Next" w:hAnsi="Avenir Next"/>
        </w:rPr>
        <w:t xml:space="preserve"> such as OpenStax.</w:t>
      </w:r>
    </w:p>
    <w:p w14:paraId="72620182" w14:textId="3B353912" w:rsidR="001369F7" w:rsidRPr="00CF733F" w:rsidRDefault="001369F7" w:rsidP="00BD74D4">
      <w:pPr>
        <w:pStyle w:val="ListParagraph"/>
        <w:numPr>
          <w:ilvl w:val="0"/>
          <w:numId w:val="4"/>
        </w:numPr>
        <w:rPr>
          <w:rFonts w:ascii="Avenir Next" w:hAnsi="Avenir Next"/>
        </w:rPr>
      </w:pPr>
      <w:r w:rsidRPr="00CF733F">
        <w:rPr>
          <w:rFonts w:ascii="Avenir Next" w:hAnsi="Avenir Next"/>
        </w:rPr>
        <w:t>Organizations that support these developments such as DuraSpace, the C</w:t>
      </w:r>
      <w:r w:rsidR="00744DBB" w:rsidRPr="00CF733F">
        <w:rPr>
          <w:rFonts w:ascii="Avenir Next" w:hAnsi="Avenir Next"/>
        </w:rPr>
        <w:t xml:space="preserve">enter for Open Science, </w:t>
      </w:r>
      <w:r w:rsidRPr="00CF733F">
        <w:rPr>
          <w:rFonts w:ascii="Avenir Next" w:hAnsi="Avenir Next"/>
        </w:rPr>
        <w:t>the Public Knowledge Project</w:t>
      </w:r>
      <w:r w:rsidR="000846F0">
        <w:rPr>
          <w:rFonts w:ascii="Avenir Next" w:hAnsi="Avenir Next"/>
        </w:rPr>
        <w:t xml:space="preserve">, </w:t>
      </w:r>
      <w:r w:rsidR="00744DBB" w:rsidRPr="00CF733F">
        <w:rPr>
          <w:rFonts w:ascii="Avenir Next" w:hAnsi="Avenir Next"/>
        </w:rPr>
        <w:t>the Open Texbook Network</w:t>
      </w:r>
      <w:r w:rsidR="000846F0">
        <w:rPr>
          <w:rFonts w:ascii="Avenir Next" w:hAnsi="Avenir Next"/>
        </w:rPr>
        <w:t xml:space="preserve">, </w:t>
      </w:r>
      <w:r w:rsidR="00A51977">
        <w:rPr>
          <w:rFonts w:ascii="Avenir Next" w:hAnsi="Avenir Next"/>
        </w:rPr>
        <w:t xml:space="preserve">Impactstory, </w:t>
      </w:r>
      <w:r w:rsidR="000846F0">
        <w:rPr>
          <w:rFonts w:ascii="Avenir Next" w:hAnsi="Avenir Next"/>
        </w:rPr>
        <w:t>Orchid, or Creative Commons</w:t>
      </w:r>
      <w:r w:rsidRPr="00CF733F">
        <w:rPr>
          <w:rFonts w:ascii="Avenir Next" w:hAnsi="Avenir Next"/>
        </w:rPr>
        <w:t>.</w:t>
      </w:r>
    </w:p>
    <w:p w14:paraId="6FCE4D2D" w14:textId="229D8A11" w:rsidR="00773EA5" w:rsidRDefault="001369F7" w:rsidP="00773EA5">
      <w:pPr>
        <w:pStyle w:val="ListParagraph"/>
        <w:numPr>
          <w:ilvl w:val="0"/>
          <w:numId w:val="4"/>
        </w:numPr>
        <w:rPr>
          <w:rFonts w:ascii="Avenir Next" w:hAnsi="Avenir Next"/>
        </w:rPr>
      </w:pPr>
      <w:r w:rsidRPr="00CF733F">
        <w:rPr>
          <w:rFonts w:ascii="Avenir Next" w:hAnsi="Avenir Next"/>
        </w:rPr>
        <w:t>Advocacy organizations such as SPARC.</w:t>
      </w:r>
    </w:p>
    <w:p w14:paraId="2FDBE493" w14:textId="77777777" w:rsidR="00773EA5" w:rsidRPr="00773EA5" w:rsidRDefault="00773EA5" w:rsidP="00773EA5">
      <w:pPr>
        <w:pStyle w:val="ListParagraph"/>
        <w:rPr>
          <w:rFonts w:ascii="Avenir Next" w:hAnsi="Avenir Next"/>
        </w:rPr>
      </w:pPr>
    </w:p>
    <w:p w14:paraId="48397884" w14:textId="0714E0BA" w:rsidR="0023731D" w:rsidRDefault="0023731D" w:rsidP="0023731D">
      <w:pPr>
        <w:rPr>
          <w:rFonts w:ascii="Avenir Next" w:hAnsi="Avenir Next"/>
        </w:rPr>
      </w:pPr>
      <w:r>
        <w:rPr>
          <w:rFonts w:ascii="Avenir Next" w:hAnsi="Avenir Next"/>
        </w:rPr>
        <w:t>On campus expenditures for staff, equipment, etc., even when in support of open access, would not count unless it was an exceptional contribution to a national project.</w:t>
      </w:r>
    </w:p>
    <w:p w14:paraId="46FDE9D4" w14:textId="77777777" w:rsidR="0023731D" w:rsidRPr="0023731D" w:rsidRDefault="0023731D" w:rsidP="0023731D">
      <w:pPr>
        <w:rPr>
          <w:rFonts w:ascii="Avenir Next" w:hAnsi="Avenir Next"/>
        </w:rPr>
      </w:pPr>
    </w:p>
    <w:p w14:paraId="03A14AD9" w14:textId="125EB7D6" w:rsidR="00653EAA" w:rsidRPr="00826D95" w:rsidRDefault="00744DBB" w:rsidP="00CF733F">
      <w:pPr>
        <w:rPr>
          <w:rStyle w:val="apple-converted-space"/>
          <w:rFonts w:ascii="Avenir Next" w:eastAsia="Times New Roman" w:hAnsi="Avenir Next"/>
        </w:rPr>
      </w:pPr>
      <w:r w:rsidRPr="00826D95">
        <w:rPr>
          <w:rFonts w:ascii="Avenir Next" w:hAnsi="Avenir Next"/>
        </w:rPr>
        <w:t>I would argue that only contributions to non-profit organizations should count</w:t>
      </w:r>
      <w:r w:rsidR="00CF733F" w:rsidRPr="00826D95">
        <w:rPr>
          <w:rFonts w:ascii="Avenir Next" w:hAnsi="Avenir Next"/>
        </w:rPr>
        <w:t>.  As Jeffery Pooley puts it, “</w:t>
      </w:r>
      <w:r w:rsidR="00CF733F" w:rsidRPr="00826D95">
        <w:rPr>
          <w:rFonts w:ascii="Avenir Next" w:eastAsia="Times New Roman" w:hAnsi="Avenir Next" w:cs="Arial"/>
          <w:color w:val="000000"/>
          <w:shd w:val="clear" w:color="auto" w:fill="FFFFFF"/>
        </w:rPr>
        <w:t>The main reason is that the profit motive is misaligned, fundamentally, with the core values of academic life. The market’s restless rent-seeking corrodes ideals like unfettered inquiry, knowledge-sharing, and cooperative progress.</w:t>
      </w:r>
      <w:r w:rsidR="00CF733F" w:rsidRPr="00826D95">
        <w:rPr>
          <w:rStyle w:val="apple-converted-space"/>
          <w:rFonts w:ascii="Avenir Next" w:eastAsia="Times New Roman" w:hAnsi="Avenir Next" w:cs="Arial"/>
          <w:color w:val="000000"/>
          <w:shd w:val="clear" w:color="auto" w:fill="FFFFFF"/>
        </w:rPr>
        <w:t>”</w:t>
      </w:r>
      <w:r w:rsidR="00CF733F" w:rsidRPr="00826D95">
        <w:rPr>
          <w:rStyle w:val="EndnoteReference"/>
          <w:rFonts w:ascii="Avenir Next" w:eastAsia="Times New Roman" w:hAnsi="Avenir Next" w:cs="Arial"/>
          <w:color w:val="000000"/>
          <w:shd w:val="clear" w:color="auto" w:fill="FFFFFF"/>
        </w:rPr>
        <w:endnoteReference w:id="8"/>
      </w:r>
      <w:r w:rsidR="00CF733F" w:rsidRPr="00826D95">
        <w:rPr>
          <w:rStyle w:val="apple-converted-space"/>
          <w:rFonts w:ascii="Avenir Next" w:eastAsia="Times New Roman" w:hAnsi="Avenir Next" w:cs="Arial"/>
          <w:color w:val="000000"/>
          <w:shd w:val="clear" w:color="auto" w:fill="FFFFFF"/>
        </w:rPr>
        <w:t xml:space="preserve">  And, if the company is for-profit Elsevier can, and likely will</w:t>
      </w:r>
      <w:r w:rsidR="00695B25" w:rsidRPr="00826D95">
        <w:rPr>
          <w:rStyle w:val="apple-converted-space"/>
          <w:rFonts w:ascii="Avenir Next" w:eastAsia="Times New Roman" w:hAnsi="Avenir Next" w:cs="Arial"/>
          <w:color w:val="000000"/>
          <w:shd w:val="clear" w:color="auto" w:fill="FFFFFF"/>
        </w:rPr>
        <w:t>,</w:t>
      </w:r>
      <w:r w:rsidR="00CF733F" w:rsidRPr="00826D95">
        <w:rPr>
          <w:rStyle w:val="apple-converted-space"/>
          <w:rFonts w:ascii="Avenir Next" w:eastAsia="Times New Roman" w:hAnsi="Avenir Next" w:cs="Arial"/>
          <w:color w:val="000000"/>
          <w:shd w:val="clear" w:color="auto" w:fill="FFFFFF"/>
        </w:rPr>
        <w:t xml:space="preserve"> buy it</w:t>
      </w:r>
      <w:r w:rsidR="00653EAA" w:rsidRPr="00826D95">
        <w:rPr>
          <w:rStyle w:val="apple-converted-space"/>
          <w:rFonts w:ascii="Avenir Next" w:eastAsia="Times New Roman" w:hAnsi="Avenir Next" w:cs="Arial"/>
          <w:color w:val="000000"/>
          <w:shd w:val="clear" w:color="auto" w:fill="FFFFFF"/>
        </w:rPr>
        <w:t>.</w:t>
      </w:r>
      <w:r w:rsidR="00826D95" w:rsidRPr="00826D95">
        <w:rPr>
          <w:rStyle w:val="apple-converted-space"/>
          <w:rFonts w:ascii="Avenir Next" w:eastAsia="Times New Roman" w:hAnsi="Avenir Next" w:cs="Arial"/>
          <w:color w:val="000000"/>
          <w:shd w:val="clear" w:color="auto" w:fill="FFFFFF"/>
        </w:rPr>
        <w:t xml:space="preserve">  As Heather Joseph and Kathleen Shearer put it responding to the Elsevier acquisition of Bepress, “</w:t>
      </w:r>
      <w:r w:rsidR="00826D95" w:rsidRPr="00826D95">
        <w:rPr>
          <w:rFonts w:ascii="Avenir Next" w:eastAsia="Times New Roman" w:hAnsi="Avenir Next"/>
          <w:color w:val="1A1B1B"/>
          <w:shd w:val="clear" w:color="auto" w:fill="FFFFFF"/>
        </w:rPr>
        <w:t>The use of open source platforms, with appropria</w:t>
      </w:r>
      <w:r w:rsidR="00826D95" w:rsidRPr="00826D95">
        <w:rPr>
          <w:rFonts w:ascii="Avenir Next" w:eastAsia="Times New Roman" w:hAnsi="Avenir Next"/>
          <w:color w:val="1A1B1B"/>
          <w:shd w:val="clear" w:color="auto" w:fill="FFFFFF"/>
        </w:rPr>
        <w:t>te community governance, is…</w:t>
      </w:r>
      <w:r w:rsidR="00826D95" w:rsidRPr="00826D95">
        <w:rPr>
          <w:rFonts w:ascii="Avenir Next" w:eastAsia="Times New Roman" w:hAnsi="Avenir Next"/>
          <w:color w:val="1A1B1B"/>
          <w:shd w:val="clear" w:color="auto" w:fill="FFFFFF"/>
        </w:rPr>
        <w:t xml:space="preserve"> critical to this goal and to preventing greater commercial control of scholarly content and associated services.</w:t>
      </w:r>
      <w:r w:rsidR="00826D95" w:rsidRPr="00826D95">
        <w:rPr>
          <w:rFonts w:ascii="Avenir Next" w:eastAsia="Times New Roman" w:hAnsi="Avenir Next"/>
          <w:color w:val="1A1B1B"/>
          <w:shd w:val="clear" w:color="auto" w:fill="FFFFFF"/>
        </w:rPr>
        <w:t>”</w:t>
      </w:r>
      <w:r w:rsidR="00826D95">
        <w:rPr>
          <w:rStyle w:val="EndnoteReference"/>
          <w:rFonts w:ascii="Avenir Next" w:eastAsia="Times New Roman" w:hAnsi="Avenir Next"/>
          <w:color w:val="1A1B1B"/>
          <w:shd w:val="clear" w:color="auto" w:fill="FFFFFF"/>
        </w:rPr>
        <w:endnoteReference w:id="9"/>
      </w:r>
      <w:r w:rsidR="00826D95">
        <w:rPr>
          <w:rFonts w:ascii="Avenir Next" w:eastAsia="Times New Roman" w:hAnsi="Avenir Next"/>
          <w:color w:val="1A1B1B"/>
          <w:shd w:val="clear" w:color="auto" w:fill="FFFFFF"/>
        </w:rPr>
        <w:t xml:space="preserve">  If the infrastructure is not a community asset, we are all vulnerable. </w:t>
      </w:r>
    </w:p>
    <w:p w14:paraId="53E19CF5" w14:textId="77777777" w:rsidR="00653EAA" w:rsidRDefault="00653EAA" w:rsidP="00CF733F">
      <w:pPr>
        <w:rPr>
          <w:rStyle w:val="apple-converted-space"/>
          <w:rFonts w:ascii="Avenir Next" w:eastAsia="Times New Roman" w:hAnsi="Avenir Next" w:cs="Arial"/>
          <w:color w:val="000000"/>
          <w:shd w:val="clear" w:color="auto" w:fill="FFFFFF"/>
        </w:rPr>
      </w:pPr>
    </w:p>
    <w:p w14:paraId="5421D0A3" w14:textId="56BF48D5" w:rsidR="00CF733F" w:rsidRDefault="00CF733F" w:rsidP="00CF733F">
      <w:pPr>
        <w:rPr>
          <w:rStyle w:val="apple-converted-space"/>
          <w:rFonts w:ascii="Avenir Next" w:eastAsia="Times New Roman" w:hAnsi="Avenir Next" w:cs="Arial"/>
          <w:color w:val="000000"/>
          <w:shd w:val="clear" w:color="auto" w:fill="FFFFFF"/>
        </w:rPr>
      </w:pPr>
      <w:r>
        <w:rPr>
          <w:rStyle w:val="apple-converted-space"/>
          <w:rFonts w:ascii="Avenir Next" w:eastAsia="Times New Roman" w:hAnsi="Avenir Next" w:cs="Arial"/>
          <w:color w:val="000000"/>
          <w:shd w:val="clear" w:color="auto" w:fill="FFFFFF"/>
        </w:rPr>
        <w:t>So</w:t>
      </w:r>
      <w:r w:rsidR="00695B25">
        <w:rPr>
          <w:rStyle w:val="apple-converted-space"/>
          <w:rFonts w:ascii="Avenir Next" w:eastAsia="Times New Roman" w:hAnsi="Avenir Next" w:cs="Arial"/>
          <w:color w:val="000000"/>
          <w:shd w:val="clear" w:color="auto" w:fill="FFFFFF"/>
        </w:rPr>
        <w:t>,</w:t>
      </w:r>
      <w:r>
        <w:rPr>
          <w:rStyle w:val="apple-converted-space"/>
          <w:rFonts w:ascii="Avenir Next" w:eastAsia="Times New Roman" w:hAnsi="Avenir Next" w:cs="Arial"/>
          <w:color w:val="000000"/>
          <w:shd w:val="clear" w:color="auto" w:fill="FFFFFF"/>
        </w:rPr>
        <w:t xml:space="preserve"> these are the counting rules</w:t>
      </w:r>
      <w:r w:rsidR="00695B25">
        <w:rPr>
          <w:rStyle w:val="apple-converted-space"/>
          <w:rFonts w:ascii="Avenir Next" w:eastAsia="Times New Roman" w:hAnsi="Avenir Next" w:cs="Arial"/>
          <w:color w:val="000000"/>
          <w:shd w:val="clear" w:color="auto" w:fill="FFFFFF"/>
        </w:rPr>
        <w:t>: Total a</w:t>
      </w:r>
      <w:r>
        <w:rPr>
          <w:rStyle w:val="apple-converted-space"/>
          <w:rFonts w:ascii="Avenir Next" w:eastAsia="Times New Roman" w:hAnsi="Avenir Next" w:cs="Arial"/>
          <w:color w:val="000000"/>
          <w:shd w:val="clear" w:color="auto" w:fill="FFFFFF"/>
        </w:rPr>
        <w:t>ll of a library’s contributions</w:t>
      </w:r>
      <w:r w:rsidR="00826D95">
        <w:rPr>
          <w:rStyle w:val="apple-converted-space"/>
          <w:rFonts w:ascii="Avenir Next" w:eastAsia="Times New Roman" w:hAnsi="Avenir Next" w:cs="Arial"/>
          <w:color w:val="000000"/>
          <w:shd w:val="clear" w:color="auto" w:fill="FFFFFF"/>
        </w:rPr>
        <w:t>, both cash and in-kind,</w:t>
      </w:r>
      <w:r>
        <w:rPr>
          <w:rStyle w:val="apple-converted-space"/>
          <w:rFonts w:ascii="Avenir Next" w:eastAsia="Times New Roman" w:hAnsi="Avenir Next" w:cs="Arial"/>
          <w:color w:val="000000"/>
          <w:shd w:val="clear" w:color="auto" w:fill="FFFFFF"/>
        </w:rPr>
        <w:t xml:space="preserve"> to </w:t>
      </w:r>
      <w:r w:rsidR="00695B25">
        <w:rPr>
          <w:rStyle w:val="apple-converted-space"/>
          <w:rFonts w:ascii="Avenir Next" w:eastAsia="Times New Roman" w:hAnsi="Avenir Next" w:cs="Arial"/>
          <w:color w:val="000000"/>
          <w:shd w:val="clear" w:color="auto" w:fill="FFFFFF"/>
        </w:rPr>
        <w:t xml:space="preserve">projects and organizations in the above categories and </w:t>
      </w:r>
      <w:r w:rsidR="0037247F">
        <w:rPr>
          <w:rStyle w:val="apple-converted-space"/>
          <w:rFonts w:ascii="Avenir Next" w:eastAsia="Times New Roman" w:hAnsi="Avenir Next" w:cs="Arial"/>
          <w:color w:val="000000"/>
          <w:shd w:val="clear" w:color="auto" w:fill="FFFFFF"/>
        </w:rPr>
        <w:t xml:space="preserve">divide it by the library’s total budget.  If the resulting percentage is 2.5% or better, the library </w:t>
      </w:r>
      <w:r w:rsidR="00653EAA">
        <w:rPr>
          <w:rStyle w:val="apple-converted-space"/>
          <w:rFonts w:ascii="Avenir Next" w:eastAsia="Times New Roman" w:hAnsi="Avenir Next" w:cs="Arial"/>
          <w:color w:val="000000"/>
          <w:shd w:val="clear" w:color="auto" w:fill="FFFFFF"/>
        </w:rPr>
        <w:t>meets</w:t>
      </w:r>
      <w:r w:rsidR="0037247F">
        <w:rPr>
          <w:rStyle w:val="apple-converted-space"/>
          <w:rFonts w:ascii="Avenir Next" w:eastAsia="Times New Roman" w:hAnsi="Avenir Next" w:cs="Arial"/>
          <w:color w:val="000000"/>
          <w:shd w:val="clear" w:color="auto" w:fill="FFFFFF"/>
        </w:rPr>
        <w:t xml:space="preserve"> the standard.</w:t>
      </w:r>
    </w:p>
    <w:p w14:paraId="3CD6B8A3" w14:textId="77777777" w:rsidR="00643274" w:rsidRDefault="00643274" w:rsidP="00CF733F">
      <w:pPr>
        <w:rPr>
          <w:rStyle w:val="apple-converted-space"/>
          <w:rFonts w:ascii="Avenir Next" w:eastAsia="Times New Roman" w:hAnsi="Avenir Next" w:cs="Arial"/>
          <w:color w:val="000000"/>
          <w:shd w:val="clear" w:color="auto" w:fill="FFFFFF"/>
        </w:rPr>
      </w:pPr>
    </w:p>
    <w:p w14:paraId="147620C8" w14:textId="2625AEF5" w:rsidR="00643274" w:rsidRDefault="00643274" w:rsidP="00CF733F">
      <w:pPr>
        <w:rPr>
          <w:rStyle w:val="apple-converted-space"/>
          <w:rFonts w:ascii="Avenir Next" w:eastAsia="Times New Roman" w:hAnsi="Avenir Next" w:cs="Arial"/>
          <w:color w:val="000000"/>
          <w:shd w:val="clear" w:color="auto" w:fill="FFFFFF"/>
        </w:rPr>
      </w:pPr>
      <w:r>
        <w:rPr>
          <w:rStyle w:val="apple-converted-space"/>
          <w:rFonts w:ascii="Avenir Next" w:eastAsia="Times New Roman" w:hAnsi="Avenir Next" w:cs="Arial"/>
          <w:color w:val="000000"/>
          <w:shd w:val="clear" w:color="auto" w:fill="FFFFFF"/>
        </w:rPr>
        <w:t>We would expect different types of libraries to contribute to different types of projects.  Research libraries would be m</w:t>
      </w:r>
      <w:r w:rsidR="00E977F9">
        <w:rPr>
          <w:rStyle w:val="apple-converted-space"/>
          <w:rFonts w:ascii="Avenir Next" w:eastAsia="Times New Roman" w:hAnsi="Avenir Next" w:cs="Arial"/>
          <w:color w:val="000000"/>
          <w:shd w:val="clear" w:color="auto" w:fill="FFFFFF"/>
        </w:rPr>
        <w:t>ore likely to support Fedora, ArXiv or the Digital Preservation Network.  Community college libraries might be more likely to support OpenStaxs or other OER projects.</w:t>
      </w:r>
    </w:p>
    <w:p w14:paraId="60C7D4E7" w14:textId="77777777" w:rsidR="00E05DC0" w:rsidRDefault="00E05DC0" w:rsidP="00CF733F">
      <w:pPr>
        <w:rPr>
          <w:rStyle w:val="apple-converted-space"/>
          <w:rFonts w:ascii="Avenir Next" w:eastAsia="Times New Roman" w:hAnsi="Avenir Next" w:cs="Arial"/>
          <w:color w:val="000000"/>
          <w:shd w:val="clear" w:color="auto" w:fill="FFFFFF"/>
        </w:rPr>
      </w:pPr>
    </w:p>
    <w:p w14:paraId="6D3F84F9" w14:textId="45C8ABB4" w:rsidR="00E05DC0" w:rsidRDefault="00E05DC0" w:rsidP="00CF733F">
      <w:pPr>
        <w:rPr>
          <w:rStyle w:val="apple-converted-space"/>
          <w:rFonts w:ascii="Avenir Next" w:eastAsia="Times New Roman" w:hAnsi="Avenir Next" w:cs="Arial"/>
          <w:color w:val="000000"/>
          <w:shd w:val="clear" w:color="auto" w:fill="FFFFFF"/>
        </w:rPr>
      </w:pPr>
      <w:r>
        <w:rPr>
          <w:rStyle w:val="apple-converted-space"/>
          <w:rFonts w:ascii="Avenir Next" w:eastAsia="Times New Roman" w:hAnsi="Avenir Next" w:cs="Arial"/>
          <w:color w:val="000000"/>
          <w:shd w:val="clear" w:color="auto" w:fill="FFFFFF"/>
        </w:rPr>
        <w:t>I have argued that a United Way like organization that would receive contributions and distribute them across the various organizations in the ecosystem would make this process more effective.</w:t>
      </w:r>
      <w:r>
        <w:rPr>
          <w:rStyle w:val="EndnoteReference"/>
          <w:rFonts w:ascii="Avenir Next" w:eastAsia="Times New Roman" w:hAnsi="Avenir Next" w:cs="Arial"/>
          <w:color w:val="000000"/>
          <w:shd w:val="clear" w:color="auto" w:fill="FFFFFF"/>
        </w:rPr>
        <w:endnoteReference w:id="10"/>
      </w:r>
      <w:r>
        <w:rPr>
          <w:rStyle w:val="apple-converted-space"/>
          <w:rFonts w:ascii="Avenir Next" w:eastAsia="Times New Roman" w:hAnsi="Avenir Next" w:cs="Arial"/>
          <w:color w:val="000000"/>
          <w:shd w:val="clear" w:color="auto" w:fill="FFFFFF"/>
        </w:rPr>
        <w:t xml:space="preserve">  Such an organization could take a broad and strategic view and could assess the effectiveness of funding.  Unfortunately, at this time there is no organization that can effectively play this role.  The best we can </w:t>
      </w:r>
      <w:r w:rsidR="00653EAA">
        <w:rPr>
          <w:rStyle w:val="apple-converted-space"/>
          <w:rFonts w:ascii="Avenir Next" w:eastAsia="Times New Roman" w:hAnsi="Avenir Next" w:cs="Arial"/>
          <w:color w:val="000000"/>
          <w:shd w:val="clear" w:color="auto" w:fill="FFFFFF"/>
        </w:rPr>
        <w:t xml:space="preserve">now </w:t>
      </w:r>
      <w:r>
        <w:rPr>
          <w:rStyle w:val="apple-converted-space"/>
          <w:rFonts w:ascii="Avenir Next" w:eastAsia="Times New Roman" w:hAnsi="Avenir Next" w:cs="Arial"/>
          <w:color w:val="000000"/>
          <w:shd w:val="clear" w:color="auto" w:fill="FFFFFF"/>
        </w:rPr>
        <w:t xml:space="preserve">hope for at </w:t>
      </w:r>
      <w:r w:rsidR="00653EAA">
        <w:rPr>
          <w:rStyle w:val="apple-converted-space"/>
          <w:rFonts w:ascii="Avenir Next" w:eastAsia="Times New Roman" w:hAnsi="Avenir Next" w:cs="Arial"/>
          <w:color w:val="000000"/>
          <w:shd w:val="clear" w:color="auto" w:fill="FFFFFF"/>
        </w:rPr>
        <w:t>is</w:t>
      </w:r>
      <w:r>
        <w:rPr>
          <w:rStyle w:val="apple-converted-space"/>
          <w:rFonts w:ascii="Avenir Next" w:eastAsia="Times New Roman" w:hAnsi="Avenir Next" w:cs="Arial"/>
          <w:color w:val="000000"/>
          <w:shd w:val="clear" w:color="auto" w:fill="FFFFFF"/>
        </w:rPr>
        <w:t xml:space="preserve"> one or more organizations that would create a list of organizations that should be supported.</w:t>
      </w:r>
    </w:p>
    <w:p w14:paraId="43996483" w14:textId="77777777" w:rsidR="00822BDC" w:rsidRDefault="00822BDC" w:rsidP="00CF733F">
      <w:pPr>
        <w:rPr>
          <w:rStyle w:val="apple-converted-space"/>
          <w:rFonts w:ascii="Avenir Next" w:eastAsia="Times New Roman" w:hAnsi="Avenir Next" w:cs="Arial"/>
          <w:color w:val="000000"/>
          <w:shd w:val="clear" w:color="auto" w:fill="FFFFFF"/>
        </w:rPr>
      </w:pPr>
    </w:p>
    <w:p w14:paraId="5CC4B836" w14:textId="77777777" w:rsidR="00822BDC" w:rsidRDefault="00822BDC" w:rsidP="00822BDC">
      <w:pPr>
        <w:pStyle w:val="PlainText"/>
      </w:pPr>
    </w:p>
    <w:p w14:paraId="698CCB00" w14:textId="58C0F6B5" w:rsidR="00822BDC" w:rsidRDefault="003277E6" w:rsidP="00822BDC">
      <w:pPr>
        <w:pStyle w:val="PlainText"/>
        <w:rPr>
          <w:b/>
        </w:rPr>
      </w:pPr>
      <w:r w:rsidRPr="003277E6">
        <w:rPr>
          <w:b/>
        </w:rPr>
        <w:t xml:space="preserve">The 2.5% Commitment </w:t>
      </w:r>
      <w:r>
        <w:rPr>
          <w:b/>
        </w:rPr>
        <w:t xml:space="preserve">Digital </w:t>
      </w:r>
      <w:r w:rsidR="0008454D">
        <w:rPr>
          <w:b/>
        </w:rPr>
        <w:t>Platform</w:t>
      </w:r>
      <w:r w:rsidR="0008454D" w:rsidRPr="0008454D">
        <w:rPr>
          <w:rStyle w:val="EndnoteReference"/>
        </w:rPr>
        <w:endnoteReference w:id="11"/>
      </w:r>
    </w:p>
    <w:p w14:paraId="403F1BE1" w14:textId="77777777" w:rsidR="003277E6" w:rsidRDefault="003277E6" w:rsidP="00822BDC">
      <w:pPr>
        <w:pStyle w:val="PlainText"/>
        <w:rPr>
          <w:b/>
        </w:rPr>
      </w:pPr>
    </w:p>
    <w:p w14:paraId="01DBD526" w14:textId="5FC84639" w:rsidR="00822BDC" w:rsidRPr="003277E6" w:rsidRDefault="003277E6" w:rsidP="003277E6">
      <w:pPr>
        <w:rPr>
          <w:rFonts w:ascii="Avenir Next" w:hAnsi="Avenir Next"/>
        </w:rPr>
      </w:pPr>
      <w:r w:rsidRPr="003277E6">
        <w:rPr>
          <w:rFonts w:ascii="Avenir Next" w:hAnsi="Avenir Next"/>
        </w:rPr>
        <w:t>A digital platform to make vetting open scholarly commons infrastructure providers and to provide academic libraries a means of accounting for their contributions should be created.</w:t>
      </w:r>
      <w:r>
        <w:rPr>
          <w:rFonts w:ascii="Avenir Next" w:hAnsi="Avenir Next"/>
        </w:rPr>
        <w:t xml:space="preserve">  O</w:t>
      </w:r>
      <w:r w:rsidRPr="003277E6">
        <w:rPr>
          <w:rFonts w:ascii="Avenir Next" w:hAnsi="Avenir Next"/>
        </w:rPr>
        <w:t xml:space="preserve">pen scholarly commons infrastructure providers </w:t>
      </w:r>
      <w:r>
        <w:rPr>
          <w:rFonts w:ascii="Avenir Next" w:hAnsi="Avenir Next"/>
        </w:rPr>
        <w:t xml:space="preserve">would supply </w:t>
      </w:r>
      <w:r w:rsidR="00822BDC" w:rsidRPr="003277E6">
        <w:rPr>
          <w:rFonts w:ascii="Avenir Next" w:hAnsi="Avenir Next"/>
        </w:rPr>
        <w:t xml:space="preserve">information </w:t>
      </w:r>
      <w:r>
        <w:rPr>
          <w:rFonts w:ascii="Avenir Next" w:hAnsi="Avenir Next"/>
        </w:rPr>
        <w:t>about</w:t>
      </w:r>
      <w:r w:rsidR="00822BDC" w:rsidRPr="003277E6">
        <w:rPr>
          <w:rFonts w:ascii="Avenir Next" w:hAnsi="Avenir Next"/>
        </w:rPr>
        <w:t xml:space="preserve"> the organization</w:t>
      </w:r>
      <w:r>
        <w:rPr>
          <w:rFonts w:ascii="Avenir Next" w:hAnsi="Avenir Next"/>
        </w:rPr>
        <w:t xml:space="preserve"> and its contributions</w:t>
      </w:r>
      <w:r w:rsidR="00822BDC" w:rsidRPr="003277E6">
        <w:rPr>
          <w:rFonts w:ascii="Avenir Next" w:hAnsi="Avenir Next"/>
        </w:rPr>
        <w:t xml:space="preserve"> including financial information.</w:t>
      </w:r>
      <w:r>
        <w:rPr>
          <w:rFonts w:ascii="Avenir Next" w:hAnsi="Avenir Next"/>
        </w:rPr>
        <w:t xml:space="preserve">  This information could be vetted by various organizations such as ARL or SPARC to validate their contributions.  The</w:t>
      </w:r>
      <w:r w:rsidR="00822BDC" w:rsidRPr="003277E6">
        <w:rPr>
          <w:rFonts w:ascii="Avenir Next" w:hAnsi="Avenir Next"/>
        </w:rPr>
        <w:t xml:space="preserve"> </w:t>
      </w:r>
      <w:r w:rsidR="006025EF">
        <w:rPr>
          <w:rFonts w:ascii="Avenir Next" w:hAnsi="Avenir Next"/>
        </w:rPr>
        <w:t>o</w:t>
      </w:r>
      <w:r w:rsidR="006025EF" w:rsidRPr="003277E6">
        <w:rPr>
          <w:rFonts w:ascii="Avenir Next" w:hAnsi="Avenir Next"/>
        </w:rPr>
        <w:t>pen scholarly commons infrastructure providers</w:t>
      </w:r>
      <w:r w:rsidR="00822BDC" w:rsidRPr="003277E6">
        <w:rPr>
          <w:rFonts w:ascii="Avenir Next" w:hAnsi="Avenir Next"/>
        </w:rPr>
        <w:t xml:space="preserve"> would want to go to the effort of doing so because it would put them and their mission in front of </w:t>
      </w:r>
      <w:r w:rsidR="006025EF">
        <w:rPr>
          <w:rFonts w:ascii="Avenir Next" w:hAnsi="Avenir Next"/>
        </w:rPr>
        <w:t>large numbers</w:t>
      </w:r>
      <w:r w:rsidR="00822BDC" w:rsidRPr="003277E6">
        <w:rPr>
          <w:rFonts w:ascii="Avenir Next" w:hAnsi="Avenir Next"/>
        </w:rPr>
        <w:t xml:space="preserve"> of</w:t>
      </w:r>
      <w:r w:rsidR="006025EF">
        <w:rPr>
          <w:rFonts w:ascii="Avenir Next" w:hAnsi="Avenir Next"/>
        </w:rPr>
        <w:t xml:space="preserve"> academic</w:t>
      </w:r>
      <w:r w:rsidR="00822BDC" w:rsidRPr="003277E6">
        <w:rPr>
          <w:rFonts w:ascii="Avenir Next" w:hAnsi="Avenir Next"/>
        </w:rPr>
        <w:t xml:space="preserve"> libraries who might </w:t>
      </w:r>
      <w:r w:rsidR="006025EF">
        <w:rPr>
          <w:rFonts w:ascii="Avenir Next" w:hAnsi="Avenir Next"/>
        </w:rPr>
        <w:t xml:space="preserve">then </w:t>
      </w:r>
      <w:r w:rsidR="00822BDC" w:rsidRPr="003277E6">
        <w:rPr>
          <w:rFonts w:ascii="Avenir Next" w:hAnsi="Avenir Next"/>
        </w:rPr>
        <w:t xml:space="preserve">consider supporting their work.  </w:t>
      </w:r>
      <w:r w:rsidR="0008454D">
        <w:rPr>
          <w:rFonts w:ascii="Avenir Next" w:hAnsi="Avenir Next"/>
        </w:rPr>
        <w:t>The platform would provide academic libraries</w:t>
      </w:r>
      <w:r w:rsidR="00822BDC" w:rsidRPr="003277E6">
        <w:rPr>
          <w:rFonts w:ascii="Avenir Next" w:hAnsi="Avenir Next"/>
        </w:rPr>
        <w:t xml:space="preserve"> </w:t>
      </w:r>
      <w:r w:rsidR="0008454D">
        <w:rPr>
          <w:rFonts w:ascii="Avenir Next" w:hAnsi="Avenir Next"/>
        </w:rPr>
        <w:t>with</w:t>
      </w:r>
      <w:r w:rsidR="00822BDC" w:rsidRPr="003277E6">
        <w:rPr>
          <w:rFonts w:ascii="Avenir Next" w:hAnsi="Avenir Next"/>
        </w:rPr>
        <w:t xml:space="preserve"> a vetted list of organizations they might want to contribute to and some standard information about these organizations.  </w:t>
      </w:r>
      <w:r w:rsidR="0008454D">
        <w:rPr>
          <w:rFonts w:ascii="Avenir Next" w:hAnsi="Avenir Next"/>
        </w:rPr>
        <w:t xml:space="preserve">Academic libraries would then indicate which ones they have contributed to and the amount of the contribution.  </w:t>
      </w:r>
      <w:r w:rsidR="00822BDC" w:rsidRPr="003277E6">
        <w:rPr>
          <w:rFonts w:ascii="Avenir Next" w:hAnsi="Avenir Next"/>
        </w:rPr>
        <w:t xml:space="preserve">They would be badged if they met the </w:t>
      </w:r>
      <w:r w:rsidR="0008454D">
        <w:rPr>
          <w:rFonts w:ascii="Avenir Next" w:hAnsi="Avenir Next"/>
        </w:rPr>
        <w:t xml:space="preserve">2.5% </w:t>
      </w:r>
      <w:r w:rsidR="00822BDC" w:rsidRPr="003277E6">
        <w:rPr>
          <w:rFonts w:ascii="Avenir Next" w:hAnsi="Avenir Next"/>
        </w:rPr>
        <w:t xml:space="preserve">standard or could use the information the system would provide as the input for ARCL or other groups collecting this information.  The open </w:t>
      </w:r>
      <w:r w:rsidR="0008454D" w:rsidRPr="003277E6">
        <w:rPr>
          <w:rFonts w:ascii="Avenir Next" w:hAnsi="Avenir Next"/>
        </w:rPr>
        <w:t>scholarly commons infrastructure providers</w:t>
      </w:r>
      <w:r w:rsidR="00822BDC" w:rsidRPr="003277E6">
        <w:rPr>
          <w:rFonts w:ascii="Avenir Next" w:hAnsi="Avenir Next"/>
        </w:rPr>
        <w:t xml:space="preserve"> could audit </w:t>
      </w:r>
      <w:r w:rsidR="0008454D">
        <w:rPr>
          <w:rFonts w:ascii="Avenir Next" w:hAnsi="Avenir Next"/>
        </w:rPr>
        <w:t xml:space="preserve">data provided by the libraries about contributions </w:t>
      </w:r>
      <w:r w:rsidR="00822BDC" w:rsidRPr="003277E6">
        <w:rPr>
          <w:rFonts w:ascii="Avenir Next" w:hAnsi="Avenir Next"/>
        </w:rPr>
        <w:t xml:space="preserve">and use it to assist in their membership drives and other fund raising.  </w:t>
      </w:r>
    </w:p>
    <w:p w14:paraId="5460800C" w14:textId="77777777" w:rsidR="003277E6" w:rsidRDefault="003277E6" w:rsidP="00CF733F">
      <w:pPr>
        <w:rPr>
          <w:rStyle w:val="apple-converted-space"/>
          <w:rFonts w:ascii="Avenir Next" w:eastAsia="Times New Roman" w:hAnsi="Avenir Next" w:cs="Arial"/>
          <w:color w:val="000000"/>
          <w:shd w:val="clear" w:color="auto" w:fill="FFFFFF"/>
        </w:rPr>
      </w:pPr>
    </w:p>
    <w:p w14:paraId="151D36FC" w14:textId="77777777" w:rsidR="003277E6" w:rsidRDefault="003277E6" w:rsidP="00CF733F">
      <w:pPr>
        <w:rPr>
          <w:rStyle w:val="apple-converted-space"/>
          <w:rFonts w:ascii="Avenir Next" w:eastAsia="Times New Roman" w:hAnsi="Avenir Next" w:cs="Arial"/>
          <w:color w:val="000000"/>
          <w:shd w:val="clear" w:color="auto" w:fill="FFFFFF"/>
        </w:rPr>
      </w:pPr>
    </w:p>
    <w:p w14:paraId="08460E48" w14:textId="029EA804" w:rsidR="0037247F" w:rsidRPr="0037247F" w:rsidRDefault="0037247F" w:rsidP="00CF733F">
      <w:pPr>
        <w:rPr>
          <w:rFonts w:ascii="Avenir Next" w:eastAsia="Times New Roman" w:hAnsi="Avenir Next" w:cs="Arial"/>
          <w:b/>
          <w:color w:val="000000"/>
          <w:shd w:val="clear" w:color="auto" w:fill="FFFFFF"/>
        </w:rPr>
      </w:pPr>
      <w:r w:rsidRPr="0037247F">
        <w:rPr>
          <w:rStyle w:val="apple-converted-space"/>
          <w:rFonts w:ascii="Avenir Next" w:eastAsia="Times New Roman" w:hAnsi="Avenir Next" w:cs="Arial"/>
          <w:b/>
          <w:color w:val="000000"/>
          <w:shd w:val="clear" w:color="auto" w:fill="FFFFFF"/>
        </w:rPr>
        <w:t>Potential Impact</w:t>
      </w:r>
    </w:p>
    <w:p w14:paraId="1AB6CC8D" w14:textId="785F9B97" w:rsidR="00744DBB" w:rsidRDefault="00744DBB" w:rsidP="00744DBB">
      <w:pPr>
        <w:rPr>
          <w:rFonts w:ascii="Avenir Next" w:hAnsi="Avenir Next"/>
        </w:rPr>
      </w:pPr>
    </w:p>
    <w:p w14:paraId="1BA05C59" w14:textId="1A624B68" w:rsidR="0037247F" w:rsidRDefault="008B579C" w:rsidP="00744DBB">
      <w:pPr>
        <w:rPr>
          <w:rFonts w:ascii="Avenir Next" w:hAnsi="Avenir Next"/>
        </w:rPr>
      </w:pPr>
      <w:r>
        <w:rPr>
          <w:rFonts w:ascii="Avenir Next" w:hAnsi="Avenir Next"/>
        </w:rPr>
        <w:t xml:space="preserve">Good figures on the total expenditures of U.S. academic libraries are not easy to come by, but based on the figures cited about $7 billion is </w:t>
      </w:r>
      <w:r w:rsidR="00400C1C">
        <w:rPr>
          <w:rFonts w:ascii="Avenir Next" w:hAnsi="Avenir Next"/>
        </w:rPr>
        <w:t>probably a safe estimate.  If 2.5% of this was allocated to common infrastructure to support the open scholarly commons this would be $175 million</w:t>
      </w:r>
      <w:r w:rsidR="00D24973">
        <w:rPr>
          <w:rFonts w:ascii="Avenir Next" w:hAnsi="Avenir Next"/>
        </w:rPr>
        <w:t xml:space="preserve">.  If only two-thirds of this amount was raised it would be about $115 million.  </w:t>
      </w:r>
    </w:p>
    <w:p w14:paraId="47F3A70D" w14:textId="77777777" w:rsidR="00D24973" w:rsidRDefault="00D24973" w:rsidP="00744DBB">
      <w:pPr>
        <w:rPr>
          <w:rFonts w:ascii="Avenir Next" w:hAnsi="Avenir Next"/>
        </w:rPr>
      </w:pPr>
    </w:p>
    <w:p w14:paraId="695C887E" w14:textId="7AAD95C1" w:rsidR="00D24973" w:rsidRPr="00EF323F" w:rsidRDefault="00D24973" w:rsidP="00744DBB">
      <w:pPr>
        <w:rPr>
          <w:rFonts w:ascii="Avenir Next" w:hAnsi="Avenir Next"/>
        </w:rPr>
      </w:pPr>
      <w:r>
        <w:rPr>
          <w:rFonts w:ascii="Avenir Next" w:hAnsi="Avenir Next"/>
        </w:rPr>
        <w:t xml:space="preserve">It is also hard to determine the current expenditures of the projects and organizations </w:t>
      </w:r>
      <w:r w:rsidRPr="00EF323F">
        <w:rPr>
          <w:rFonts w:ascii="Avenir Next" w:hAnsi="Avenir Next"/>
        </w:rPr>
        <w:t>to see how much additional investment would be added.  But it is hard to imagine that the current expenditures reach</w:t>
      </w:r>
      <w:r w:rsidR="00653EAA" w:rsidRPr="00EF323F">
        <w:rPr>
          <w:rFonts w:ascii="Avenir Next" w:hAnsi="Avenir Next"/>
        </w:rPr>
        <w:t xml:space="preserve"> anywhere near</w:t>
      </w:r>
      <w:r w:rsidRPr="00EF323F">
        <w:rPr>
          <w:rFonts w:ascii="Avenir Next" w:hAnsi="Avenir Next"/>
        </w:rPr>
        <w:t xml:space="preserve"> that level.  To take some examples, </w:t>
      </w:r>
      <w:r w:rsidR="00EF56BA" w:rsidRPr="00EF323F">
        <w:rPr>
          <w:rFonts w:ascii="Avenir Next" w:hAnsi="Avenir Next"/>
        </w:rPr>
        <w:t xml:space="preserve">in 2016 </w:t>
      </w:r>
      <w:r w:rsidRPr="00EF323F">
        <w:rPr>
          <w:rFonts w:ascii="Avenir Next" w:hAnsi="Avenir Next"/>
        </w:rPr>
        <w:t xml:space="preserve">the Public Knowledge Project’s </w:t>
      </w:r>
      <w:r w:rsidR="00EF56BA" w:rsidRPr="00EF323F">
        <w:rPr>
          <w:rFonts w:ascii="Avenir Next" w:hAnsi="Avenir Next"/>
        </w:rPr>
        <w:t>income was $1.18 million, the</w:t>
      </w:r>
      <w:r w:rsidR="00883F5A" w:rsidRPr="00EF323F">
        <w:rPr>
          <w:rFonts w:ascii="Avenir Next" w:hAnsi="Avenir Next"/>
        </w:rPr>
        <w:t xml:space="preserve"> total revenue for</w:t>
      </w:r>
      <w:r w:rsidR="00EF56BA" w:rsidRPr="00EF323F">
        <w:rPr>
          <w:rFonts w:ascii="Avenir Next" w:hAnsi="Avenir Next"/>
        </w:rPr>
        <w:t xml:space="preserve"> HathiTrust</w:t>
      </w:r>
      <w:r w:rsidR="00883F5A" w:rsidRPr="00EF323F">
        <w:rPr>
          <w:rFonts w:ascii="Avenir Next" w:hAnsi="Avenir Next"/>
        </w:rPr>
        <w:t xml:space="preserve"> was $3.2 million, and </w:t>
      </w:r>
      <w:r w:rsidR="00EF56A2" w:rsidRPr="00EF323F">
        <w:rPr>
          <w:rFonts w:ascii="Avenir Next" w:hAnsi="Avenir Next"/>
        </w:rPr>
        <w:t>the 2016 DuraSp</w:t>
      </w:r>
      <w:r w:rsidR="00547646" w:rsidRPr="00EF323F">
        <w:rPr>
          <w:rFonts w:ascii="Avenir Next" w:hAnsi="Avenir Next"/>
        </w:rPr>
        <w:t>a</w:t>
      </w:r>
      <w:r w:rsidR="00EF56A2" w:rsidRPr="00EF323F">
        <w:rPr>
          <w:rFonts w:ascii="Avenir Next" w:hAnsi="Avenir Next"/>
        </w:rPr>
        <w:t>ce revenue was</w:t>
      </w:r>
      <w:r w:rsidR="00E34099" w:rsidRPr="00EF323F">
        <w:rPr>
          <w:rFonts w:ascii="Avenir Next" w:hAnsi="Avenir Next"/>
        </w:rPr>
        <w:t xml:space="preserve"> about</w:t>
      </w:r>
      <w:r w:rsidR="00EF56A2" w:rsidRPr="00EF323F">
        <w:rPr>
          <w:rFonts w:ascii="Avenir Next" w:hAnsi="Avenir Next"/>
        </w:rPr>
        <w:t xml:space="preserve"> $1.78 million</w:t>
      </w:r>
      <w:r w:rsidR="00EF56BA" w:rsidRPr="00EF323F">
        <w:rPr>
          <w:rFonts w:ascii="Avenir Next" w:hAnsi="Avenir Next"/>
        </w:rPr>
        <w:t>.</w:t>
      </w:r>
      <w:r w:rsidR="00EF56BA" w:rsidRPr="00EF323F">
        <w:rPr>
          <w:rStyle w:val="EndnoteReference"/>
          <w:rFonts w:ascii="Avenir Next" w:hAnsi="Avenir Next"/>
        </w:rPr>
        <w:endnoteReference w:id="12"/>
      </w:r>
      <w:r w:rsidR="00637856" w:rsidRPr="00EF323F">
        <w:rPr>
          <w:rFonts w:ascii="Avenir Next" w:hAnsi="Avenir Next"/>
        </w:rPr>
        <w:t xml:space="preserve">  </w:t>
      </w:r>
    </w:p>
    <w:p w14:paraId="5AC29A62" w14:textId="77777777" w:rsidR="00637856" w:rsidRPr="00EF323F" w:rsidRDefault="00637856" w:rsidP="00744DBB">
      <w:pPr>
        <w:rPr>
          <w:rFonts w:ascii="Avenir Next" w:hAnsi="Avenir Next"/>
        </w:rPr>
      </w:pPr>
    </w:p>
    <w:p w14:paraId="61A350AF" w14:textId="6C543185" w:rsidR="00637856" w:rsidRPr="00EF323F" w:rsidRDefault="00637856" w:rsidP="00744DBB">
      <w:pPr>
        <w:rPr>
          <w:rFonts w:ascii="Avenir Next" w:hAnsi="Avenir Next"/>
        </w:rPr>
      </w:pPr>
      <w:r w:rsidRPr="00EF323F">
        <w:rPr>
          <w:rFonts w:ascii="Avenir Next" w:hAnsi="Avenir Next"/>
        </w:rPr>
        <w:t xml:space="preserve">It is hard </w:t>
      </w:r>
      <w:r w:rsidR="000846F0" w:rsidRPr="00EF323F">
        <w:rPr>
          <w:rFonts w:ascii="Avenir Next" w:hAnsi="Avenir Next"/>
        </w:rPr>
        <w:t>to imagine that contributions at the</w:t>
      </w:r>
      <w:r w:rsidRPr="00EF323F">
        <w:rPr>
          <w:rFonts w:ascii="Avenir Next" w:hAnsi="Avenir Next"/>
        </w:rPr>
        <w:t xml:space="preserve"> $115 million </w:t>
      </w:r>
      <w:r w:rsidR="000846F0" w:rsidRPr="00EF323F">
        <w:rPr>
          <w:rFonts w:ascii="Avenir Next" w:hAnsi="Avenir Next"/>
        </w:rPr>
        <w:t xml:space="preserve">level </w:t>
      </w:r>
      <w:r w:rsidRPr="00EF323F">
        <w:rPr>
          <w:rFonts w:ascii="Avenir Next" w:hAnsi="Avenir Next"/>
        </w:rPr>
        <w:t>would not more than double the funds available</w:t>
      </w:r>
      <w:r w:rsidR="000846F0" w:rsidRPr="00EF323F">
        <w:rPr>
          <w:rFonts w:ascii="Avenir Next" w:hAnsi="Avenir Next"/>
        </w:rPr>
        <w:t xml:space="preserve"> to these common infrastructure organizations</w:t>
      </w:r>
      <w:r w:rsidRPr="00EF323F">
        <w:rPr>
          <w:rFonts w:ascii="Avenir Next" w:hAnsi="Avenir Next"/>
        </w:rPr>
        <w:t>.</w:t>
      </w:r>
      <w:r w:rsidR="00A51977" w:rsidRPr="00EF323F">
        <w:rPr>
          <w:rFonts w:ascii="Avenir Next" w:hAnsi="Avenir Next"/>
        </w:rPr>
        <w:t xml:space="preserve">  This would give them the resources they need to take their work to the next level, where we need it to be.</w:t>
      </w:r>
      <w:r w:rsidR="004D7CC8" w:rsidRPr="00EF323F">
        <w:rPr>
          <w:rFonts w:ascii="Avenir Next" w:hAnsi="Avenir Next"/>
        </w:rPr>
        <w:t xml:space="preserve">  </w:t>
      </w:r>
    </w:p>
    <w:p w14:paraId="054A2551" w14:textId="77777777" w:rsidR="004278B2" w:rsidRPr="00EF323F" w:rsidRDefault="004278B2" w:rsidP="00744DBB">
      <w:pPr>
        <w:rPr>
          <w:rFonts w:ascii="Avenir Next" w:hAnsi="Avenir Next"/>
        </w:rPr>
      </w:pPr>
    </w:p>
    <w:p w14:paraId="08864342" w14:textId="34B66001" w:rsidR="004278B2" w:rsidRPr="00C24913" w:rsidRDefault="004278B2" w:rsidP="00744DBB">
      <w:pPr>
        <w:rPr>
          <w:rFonts w:ascii="Avenir Next" w:eastAsia="Times New Roman" w:hAnsi="Avenir Next"/>
        </w:rPr>
      </w:pPr>
      <w:r w:rsidRPr="00EF323F">
        <w:rPr>
          <w:rFonts w:ascii="Avenir Next" w:hAnsi="Avenir Next"/>
        </w:rPr>
        <w:t>But just to keep this in perspective</w:t>
      </w:r>
      <w:r w:rsidR="00CC32B8" w:rsidRPr="00EF323F">
        <w:rPr>
          <w:rFonts w:ascii="Avenir Next" w:hAnsi="Avenir Next"/>
        </w:rPr>
        <w:t>,</w:t>
      </w:r>
      <w:r w:rsidRPr="00EF323F">
        <w:rPr>
          <w:rFonts w:ascii="Avenir Next" w:hAnsi="Avenir Next"/>
        </w:rPr>
        <w:t xml:space="preserve"> </w:t>
      </w:r>
      <w:r w:rsidR="00EA31F8" w:rsidRPr="00EF323F">
        <w:rPr>
          <w:rFonts w:ascii="Avenir Next" w:hAnsi="Avenir Next"/>
        </w:rPr>
        <w:t xml:space="preserve">the </w:t>
      </w:r>
      <w:r w:rsidR="00EA31F8" w:rsidRPr="00EF323F">
        <w:rPr>
          <w:rFonts w:ascii="Avenir Next" w:hAnsi="Avenir Next"/>
          <w:i/>
        </w:rPr>
        <w:t>Financial Times</w:t>
      </w:r>
      <w:r w:rsidR="00EA31F8" w:rsidRPr="00EF323F">
        <w:rPr>
          <w:rFonts w:ascii="Avenir Next" w:hAnsi="Avenir Next"/>
        </w:rPr>
        <w:t xml:space="preserve"> reported that Elsevier paid </w:t>
      </w:r>
      <w:r w:rsidR="00CC32B8" w:rsidRPr="00EF323F">
        <w:rPr>
          <w:rFonts w:ascii="Avenir Next" w:hAnsi="Avenir Next"/>
        </w:rPr>
        <w:t>$115 million</w:t>
      </w:r>
      <w:r w:rsidRPr="00EF323F">
        <w:rPr>
          <w:rFonts w:ascii="Avenir Next" w:hAnsi="Avenir Next"/>
        </w:rPr>
        <w:t xml:space="preserve"> </w:t>
      </w:r>
      <w:r w:rsidR="00CC32B8" w:rsidRPr="00EF323F">
        <w:rPr>
          <w:rFonts w:ascii="Avenir Next" w:hAnsi="Avenir Next"/>
        </w:rPr>
        <w:t>to acquire Bepress.</w:t>
      </w:r>
      <w:r w:rsidR="00EF323F" w:rsidRPr="00EF323F">
        <w:rPr>
          <w:rFonts w:ascii="Avenir Next" w:hAnsi="Avenir Next"/>
        </w:rPr>
        <w:t xml:space="preserve">  The same article said that, “Relx (Elsevier’s parent company) </w:t>
      </w:r>
      <w:r w:rsidR="00EF323F" w:rsidRPr="00C24913">
        <w:rPr>
          <w:rFonts w:ascii="Avenir Next" w:hAnsi="Avenir Next"/>
        </w:rPr>
        <w:t xml:space="preserve">only spends about </w:t>
      </w:r>
      <w:r w:rsidR="00C24913" w:rsidRPr="00C24913">
        <w:rPr>
          <w:rFonts w:ascii="Avenir Next" w:eastAsia="Times New Roman" w:hAnsi="Avenir Next" w:cs="Arial"/>
          <w:color w:val="000000"/>
          <w:shd w:val="clear" w:color="auto" w:fill="FFFFFF"/>
        </w:rPr>
        <w:t>£</w:t>
      </w:r>
      <w:r w:rsidR="00EF323F" w:rsidRPr="00C24913">
        <w:rPr>
          <w:rFonts w:ascii="Avenir Next" w:hAnsi="Avenir Next"/>
        </w:rPr>
        <w:t>300m</w:t>
      </w:r>
      <w:r w:rsidR="00C24913">
        <w:rPr>
          <w:rFonts w:ascii="Avenir Next" w:hAnsi="Avenir Next"/>
        </w:rPr>
        <w:t xml:space="preserve"> (</w:t>
      </w:r>
      <w:r w:rsidR="007E6C3E">
        <w:rPr>
          <w:rFonts w:ascii="Avenir Next" w:hAnsi="Avenir Next"/>
        </w:rPr>
        <w:t>about $385</w:t>
      </w:r>
      <w:r w:rsidR="00C24913">
        <w:rPr>
          <w:rFonts w:ascii="Avenir Next" w:hAnsi="Avenir Next"/>
        </w:rPr>
        <w:t xml:space="preserve"> million)</w:t>
      </w:r>
      <w:r w:rsidR="00EF323F" w:rsidRPr="00C24913">
        <w:rPr>
          <w:rFonts w:ascii="Avenir Next" w:hAnsi="Avenir Next"/>
        </w:rPr>
        <w:t xml:space="preserve"> a year on acquisitions, targeting about 25 deals.”</w:t>
      </w:r>
      <w:r w:rsidR="00CC32B8" w:rsidRPr="00C24913">
        <w:rPr>
          <w:rStyle w:val="EndnoteReference"/>
          <w:rFonts w:ascii="Avenir Next" w:hAnsi="Avenir Next"/>
        </w:rPr>
        <w:endnoteReference w:id="13"/>
      </w:r>
      <w:r w:rsidR="00C24913">
        <w:rPr>
          <w:rFonts w:ascii="Avenir Next" w:hAnsi="Avenir Next"/>
        </w:rPr>
        <w:t xml:space="preserve">  So even if we can collectively up our game, we remain the underdog.</w:t>
      </w:r>
    </w:p>
    <w:p w14:paraId="0353494C" w14:textId="77777777" w:rsidR="00637856" w:rsidRPr="00C24913" w:rsidRDefault="00637856" w:rsidP="00744DBB">
      <w:pPr>
        <w:rPr>
          <w:rFonts w:ascii="Avenir Next" w:hAnsi="Avenir Next"/>
        </w:rPr>
      </w:pPr>
    </w:p>
    <w:p w14:paraId="1516BA18" w14:textId="77777777" w:rsidR="00637856" w:rsidRPr="00EF323F" w:rsidRDefault="00637856" w:rsidP="00744DBB">
      <w:pPr>
        <w:rPr>
          <w:rFonts w:ascii="Avenir Next" w:hAnsi="Avenir Next"/>
        </w:rPr>
      </w:pPr>
    </w:p>
    <w:p w14:paraId="23EDE70A" w14:textId="062B58E5" w:rsidR="00637856" w:rsidRPr="00EF323F" w:rsidRDefault="000846F0" w:rsidP="00744DBB">
      <w:pPr>
        <w:rPr>
          <w:rFonts w:ascii="Avenir Next" w:hAnsi="Avenir Next"/>
          <w:b/>
        </w:rPr>
      </w:pPr>
      <w:r w:rsidRPr="00EF323F">
        <w:rPr>
          <w:rFonts w:ascii="Avenir Next" w:hAnsi="Avenir Next"/>
          <w:b/>
        </w:rPr>
        <w:t>How to Make It Happen</w:t>
      </w:r>
    </w:p>
    <w:p w14:paraId="320F0B25" w14:textId="77777777" w:rsidR="000846F0" w:rsidRPr="00EF323F" w:rsidRDefault="000846F0" w:rsidP="00744DBB">
      <w:pPr>
        <w:rPr>
          <w:rFonts w:ascii="Avenir Next" w:hAnsi="Avenir Next"/>
        </w:rPr>
      </w:pPr>
    </w:p>
    <w:p w14:paraId="5D1F7427" w14:textId="47B595E0" w:rsidR="00AD5A8A" w:rsidRPr="00EF323F" w:rsidRDefault="00AD5A8A" w:rsidP="00AD5A8A">
      <w:pPr>
        <w:rPr>
          <w:rFonts w:ascii="Avenir Next" w:hAnsi="Avenir Next"/>
        </w:rPr>
      </w:pPr>
      <w:r w:rsidRPr="00EF323F">
        <w:rPr>
          <w:rFonts w:ascii="Avenir Next" w:hAnsi="Avenir Next"/>
        </w:rPr>
        <w:t>So, there is now a proposal floating around in the academic library world that every library should contribute 2.5% of its budget to support the common infrastructure needed to create the open scholarly commons.  Why would anyone care, and more importantly, why would any library adopt make this commitment?  After all, isn’t Wenzler right about the dilemma of collective action?</w:t>
      </w:r>
    </w:p>
    <w:p w14:paraId="1C438FE3" w14:textId="77777777" w:rsidR="00AD5A8A" w:rsidRPr="00EF323F" w:rsidRDefault="00AD5A8A" w:rsidP="00AD5A8A">
      <w:pPr>
        <w:rPr>
          <w:rFonts w:ascii="Avenir Next" w:hAnsi="Avenir Next"/>
        </w:rPr>
      </w:pPr>
    </w:p>
    <w:p w14:paraId="66F3C550" w14:textId="18B25D02" w:rsidR="00AD5A8A" w:rsidRDefault="00AD5A8A" w:rsidP="00AD5A8A">
      <w:pPr>
        <w:rPr>
          <w:rFonts w:ascii="Avenir Next" w:hAnsi="Avenir Next"/>
        </w:rPr>
      </w:pPr>
      <w:r w:rsidRPr="00EF323F">
        <w:rPr>
          <w:rFonts w:ascii="Avenir Next" w:hAnsi="Avenir Next"/>
        </w:rPr>
        <w:t xml:space="preserve">The 2.5% Commitment only happens if it becomes the accepted standard, if there is peer pressure, if </w:t>
      </w:r>
      <w:r w:rsidR="00E34099" w:rsidRPr="00EF323F">
        <w:rPr>
          <w:rFonts w:ascii="Avenir Next" w:hAnsi="Avenir Next"/>
        </w:rPr>
        <w:t xml:space="preserve">the </w:t>
      </w:r>
      <w:r w:rsidRPr="00EF323F">
        <w:rPr>
          <w:rFonts w:ascii="Avenir Next" w:hAnsi="Avenir Next"/>
        </w:rPr>
        <w:t>groups you</w:t>
      </w:r>
      <w:r w:rsidR="00E34099" w:rsidRPr="00EF323F">
        <w:rPr>
          <w:rFonts w:ascii="Avenir Next" w:hAnsi="Avenir Next"/>
        </w:rPr>
        <w:t>r library</w:t>
      </w:r>
      <w:r w:rsidRPr="00EF323F">
        <w:rPr>
          <w:rFonts w:ascii="Avenir Next" w:hAnsi="Avenir Next"/>
        </w:rPr>
        <w:t xml:space="preserve"> belong</w:t>
      </w:r>
      <w:r w:rsidR="00E34099" w:rsidRPr="00EF323F">
        <w:rPr>
          <w:rFonts w:ascii="Avenir Next" w:hAnsi="Avenir Next"/>
        </w:rPr>
        <w:t>s</w:t>
      </w:r>
      <w:r w:rsidRPr="00EF323F">
        <w:rPr>
          <w:rFonts w:ascii="Avenir Next" w:hAnsi="Avenir Next"/>
        </w:rPr>
        <w:t xml:space="preserve"> to — ARL, Oberlin Group or SPARC — declare this a group norm and reports who achieves it. The 2.5% Commitment happens it Presidents and Provosts and faculty become convinced this is a minimum</w:t>
      </w:r>
      <w:r>
        <w:rPr>
          <w:rFonts w:ascii="Avenir Next" w:hAnsi="Avenir Next"/>
        </w:rPr>
        <w:t xml:space="preserve"> level of institutional support for the common good. The 2.5% Commitment happens if accreditors ask about it.  The 2.5% Commitment happens if it becomes a movement.</w:t>
      </w:r>
    </w:p>
    <w:p w14:paraId="452DBDF6" w14:textId="77777777" w:rsidR="00AD5A8A" w:rsidRDefault="00AD5A8A" w:rsidP="00AD5A8A">
      <w:pPr>
        <w:rPr>
          <w:rFonts w:ascii="Avenir Next" w:hAnsi="Avenir Next"/>
        </w:rPr>
      </w:pPr>
    </w:p>
    <w:p w14:paraId="787E035E" w14:textId="5FCD7E78" w:rsidR="00AD5A8A" w:rsidRDefault="00AD5A8A" w:rsidP="00AD5A8A">
      <w:pPr>
        <w:rPr>
          <w:rFonts w:ascii="Avenir Next" w:hAnsi="Avenir Next"/>
        </w:rPr>
      </w:pPr>
      <w:r>
        <w:rPr>
          <w:rFonts w:ascii="Avenir Next" w:hAnsi="Avenir Next"/>
        </w:rPr>
        <w:t>The 2.5% Commitment</w:t>
      </w:r>
      <w:r w:rsidR="00861C5E">
        <w:rPr>
          <w:rFonts w:ascii="Avenir Next" w:hAnsi="Avenir Next"/>
        </w:rPr>
        <w:t xml:space="preserve"> </w:t>
      </w:r>
      <w:r w:rsidR="00E34099">
        <w:rPr>
          <w:rFonts w:ascii="Avenir Next" w:hAnsi="Avenir Next"/>
        </w:rPr>
        <w:t>will happen only</w:t>
      </w:r>
      <w:r w:rsidR="00861C5E">
        <w:rPr>
          <w:rFonts w:ascii="Avenir Next" w:hAnsi="Avenir Next"/>
        </w:rPr>
        <w:t xml:space="preserve"> if we create and grow the movement. </w:t>
      </w:r>
    </w:p>
    <w:p w14:paraId="47FE037C" w14:textId="77777777" w:rsidR="000846F0" w:rsidRPr="00CF733F" w:rsidRDefault="000846F0" w:rsidP="00744DBB">
      <w:pPr>
        <w:rPr>
          <w:rFonts w:ascii="Avenir Next" w:hAnsi="Avenir Next"/>
        </w:rPr>
      </w:pPr>
    </w:p>
    <w:p w14:paraId="199F2714" w14:textId="1D42AE15" w:rsidR="00B161D3" w:rsidRDefault="0018138C" w:rsidP="00B161D3">
      <w:pPr>
        <w:rPr>
          <w:rFonts w:ascii="Avenir Next" w:hAnsi="Avenir Next"/>
        </w:rPr>
      </w:pPr>
      <w:r>
        <w:rPr>
          <w:rFonts w:ascii="Avenir Next" w:hAnsi="Avenir Next"/>
        </w:rPr>
        <w:t>I would suggest several action items as a way to start:</w:t>
      </w:r>
    </w:p>
    <w:p w14:paraId="08F79603" w14:textId="77777777" w:rsidR="0018138C" w:rsidRDefault="0018138C" w:rsidP="00B161D3">
      <w:pPr>
        <w:rPr>
          <w:rFonts w:ascii="Avenir Next" w:hAnsi="Avenir Next"/>
        </w:rPr>
      </w:pPr>
    </w:p>
    <w:p w14:paraId="10052FD2" w14:textId="77777777" w:rsidR="0023731D" w:rsidRDefault="0018138C" w:rsidP="0023731D">
      <w:pPr>
        <w:pStyle w:val="ListParagraph"/>
        <w:numPr>
          <w:ilvl w:val="0"/>
          <w:numId w:val="5"/>
        </w:numPr>
        <w:rPr>
          <w:rFonts w:ascii="Avenir Next" w:hAnsi="Avenir Next"/>
        </w:rPr>
      </w:pPr>
      <w:r>
        <w:rPr>
          <w:rFonts w:ascii="Avenir Next" w:hAnsi="Avenir Next"/>
        </w:rPr>
        <w:t>Organizations such as ARL, ACRL, the Oberlin Group and SPARC, individually or collectively, should create list of organizations who would count as open scholarly commons infrastructure providers.</w:t>
      </w:r>
    </w:p>
    <w:p w14:paraId="59EC34B6" w14:textId="20CF3538" w:rsidR="00225BCF" w:rsidRPr="0023731D" w:rsidRDefault="00225BCF" w:rsidP="0023731D">
      <w:pPr>
        <w:pStyle w:val="ListParagraph"/>
        <w:numPr>
          <w:ilvl w:val="0"/>
          <w:numId w:val="5"/>
        </w:numPr>
        <w:rPr>
          <w:rFonts w:ascii="Avenir Next" w:hAnsi="Avenir Next"/>
        </w:rPr>
      </w:pPr>
      <w:r w:rsidRPr="0023731D">
        <w:rPr>
          <w:rFonts w:ascii="Avenir Next" w:hAnsi="Avenir Next"/>
        </w:rPr>
        <w:t xml:space="preserve">Librarians should solicit support for the 2.5% commitment from national organizations representing Presidents and Provosts, such as </w:t>
      </w:r>
      <w:r w:rsidR="0023731D" w:rsidRPr="0023731D">
        <w:rPr>
          <w:rFonts w:ascii="Avenir Next" w:eastAsia="Times New Roman" w:hAnsi="Avenir Next"/>
          <w:bCs/>
          <w:color w:val="222222"/>
        </w:rPr>
        <w:t xml:space="preserve">Association of American Universities </w:t>
      </w:r>
      <w:r w:rsidRPr="0023731D">
        <w:rPr>
          <w:rFonts w:ascii="Avenir Next" w:hAnsi="Avenir Next"/>
        </w:rPr>
        <w:t xml:space="preserve">and </w:t>
      </w:r>
      <w:r w:rsidR="0023731D" w:rsidRPr="0023731D">
        <w:rPr>
          <w:rFonts w:ascii="Avenir Next" w:hAnsi="Avenir Next"/>
        </w:rPr>
        <w:t xml:space="preserve">the </w:t>
      </w:r>
      <w:r w:rsidR="0023731D" w:rsidRPr="0023731D">
        <w:rPr>
          <w:rFonts w:ascii="Avenir Next" w:eastAsia="Times New Roman" w:hAnsi="Avenir Next"/>
          <w:bCs/>
          <w:color w:val="222222"/>
        </w:rPr>
        <w:t>Association of Public and Land-grant Universities.</w:t>
      </w:r>
    </w:p>
    <w:p w14:paraId="501D6DEA" w14:textId="0E7B5232" w:rsidR="003277E6" w:rsidRDefault="003277E6" w:rsidP="0018138C">
      <w:pPr>
        <w:pStyle w:val="ListParagraph"/>
        <w:numPr>
          <w:ilvl w:val="0"/>
          <w:numId w:val="5"/>
        </w:numPr>
        <w:rPr>
          <w:rFonts w:ascii="Avenir Next" w:hAnsi="Avenir Next"/>
        </w:rPr>
      </w:pPr>
      <w:r w:rsidRPr="0023731D">
        <w:rPr>
          <w:rFonts w:ascii="Avenir Next" w:hAnsi="Avenir Next"/>
        </w:rPr>
        <w:t>A digital platform to make vetting open scholarly commons infrastructure providers and to provide academic libraries a means of accounting for their contributions</w:t>
      </w:r>
      <w:r>
        <w:rPr>
          <w:rFonts w:ascii="Avenir Next" w:hAnsi="Avenir Next"/>
        </w:rPr>
        <w:t xml:space="preserve"> should be created.</w:t>
      </w:r>
    </w:p>
    <w:p w14:paraId="0269F624" w14:textId="51C998AA" w:rsidR="0018138C" w:rsidRDefault="0018138C" w:rsidP="0018138C">
      <w:pPr>
        <w:pStyle w:val="ListParagraph"/>
        <w:numPr>
          <w:ilvl w:val="0"/>
          <w:numId w:val="5"/>
        </w:numPr>
        <w:rPr>
          <w:rFonts w:ascii="Avenir Next" w:hAnsi="Avenir Next"/>
        </w:rPr>
      </w:pPr>
      <w:r>
        <w:rPr>
          <w:rFonts w:ascii="Avenir Next" w:hAnsi="Avenir Next"/>
        </w:rPr>
        <w:t>Organizations such as ARL, ACRL, the Oberlin Group and SPARC, individually or collectively, should badge libraries that meet the 2.5% commitment.</w:t>
      </w:r>
    </w:p>
    <w:p w14:paraId="32CEB6F7" w14:textId="57BCC27E" w:rsidR="0018138C" w:rsidRDefault="0018138C" w:rsidP="0018138C">
      <w:pPr>
        <w:pStyle w:val="ListParagraph"/>
        <w:numPr>
          <w:ilvl w:val="0"/>
          <w:numId w:val="5"/>
        </w:numPr>
        <w:rPr>
          <w:rFonts w:ascii="Avenir Next" w:hAnsi="Avenir Next"/>
        </w:rPr>
      </w:pPr>
      <w:r>
        <w:rPr>
          <w:rFonts w:ascii="Avenir Next" w:hAnsi="Avenir Next"/>
        </w:rPr>
        <w:t>Open scholarly commons infrastructure providers should establish incentives from libraries that are badged as having met the 2.5% commitment.</w:t>
      </w:r>
      <w:r w:rsidR="00E34099">
        <w:rPr>
          <w:rFonts w:ascii="Avenir Next" w:hAnsi="Avenir Next"/>
        </w:rPr>
        <w:t xml:space="preserve">  This might include lower threshold for governance involvement or other membership benefits.</w:t>
      </w:r>
    </w:p>
    <w:p w14:paraId="3DF295F0" w14:textId="359A8755" w:rsidR="0018138C" w:rsidRDefault="0018138C" w:rsidP="0018138C">
      <w:pPr>
        <w:pStyle w:val="ListParagraph"/>
        <w:numPr>
          <w:ilvl w:val="0"/>
          <w:numId w:val="5"/>
        </w:numPr>
        <w:rPr>
          <w:rFonts w:ascii="Avenir Next" w:hAnsi="Avenir Next"/>
        </w:rPr>
      </w:pPr>
      <w:r>
        <w:rPr>
          <w:rFonts w:ascii="Avenir Next" w:hAnsi="Avenir Next"/>
        </w:rPr>
        <w:t xml:space="preserve">Libraries that are in the 2.5% commitment group should </w:t>
      </w:r>
      <w:r w:rsidR="000F14F1">
        <w:rPr>
          <w:rFonts w:ascii="Avenir Next" w:hAnsi="Avenir Next"/>
        </w:rPr>
        <w:t>create an organization to begin to coordinate contributions and assess the effectiveness of open scholarly commons infrastructure providers.  This could be the beginning of a United Way like organization.</w:t>
      </w:r>
      <w:r w:rsidR="00345A0F">
        <w:rPr>
          <w:rFonts w:ascii="Avenir Next" w:hAnsi="Avenir Next"/>
        </w:rPr>
        <w:t xml:space="preserve">  One of the keys to creating a United Way like organization will be developing the library community’s trust.  Building from a group of early adopting libraries could achieve this.</w:t>
      </w:r>
    </w:p>
    <w:p w14:paraId="7BECEF0C" w14:textId="77777777" w:rsidR="000F14F1" w:rsidRDefault="000F14F1" w:rsidP="000F14F1">
      <w:pPr>
        <w:rPr>
          <w:rFonts w:ascii="Avenir Next" w:hAnsi="Avenir Next"/>
        </w:rPr>
      </w:pPr>
    </w:p>
    <w:p w14:paraId="4448469F" w14:textId="3E517DD1" w:rsidR="000F14F1" w:rsidRDefault="000F14F1" w:rsidP="000F14F1">
      <w:pPr>
        <w:rPr>
          <w:rFonts w:ascii="Avenir Next" w:hAnsi="Avenir Next"/>
        </w:rPr>
      </w:pPr>
      <w:r>
        <w:rPr>
          <w:rFonts w:ascii="Avenir Next" w:hAnsi="Avenir Next"/>
        </w:rPr>
        <w:t xml:space="preserve">At the end of the day, </w:t>
      </w:r>
      <w:r w:rsidR="00E508C1">
        <w:rPr>
          <w:rFonts w:ascii="Avenir Next" w:hAnsi="Avenir Next"/>
        </w:rPr>
        <w:t>if we don’t collectively invest in the infrastructure we need for the open scholarly commons, it will not get built or it will only be haphazardly half built.  A 2.5% commitment will require some reallocation, but every academic library can do it if they choose.</w:t>
      </w:r>
    </w:p>
    <w:p w14:paraId="7F7E4A5D" w14:textId="77777777" w:rsidR="00E34099" w:rsidRDefault="00E34099" w:rsidP="000F14F1">
      <w:pPr>
        <w:rPr>
          <w:rFonts w:ascii="Avenir Next" w:hAnsi="Avenir Next"/>
        </w:rPr>
      </w:pPr>
    </w:p>
    <w:p w14:paraId="2AF7D5E3" w14:textId="00D521F0" w:rsidR="00E34099" w:rsidRPr="000F14F1" w:rsidRDefault="00E34099" w:rsidP="000F14F1">
      <w:pPr>
        <w:rPr>
          <w:rFonts w:ascii="Avenir Next" w:hAnsi="Avenir Next"/>
        </w:rPr>
      </w:pPr>
      <w:r>
        <w:rPr>
          <w:rFonts w:ascii="Avenir Next" w:hAnsi="Avenir Next"/>
        </w:rPr>
        <w:t>It is time to get started.</w:t>
      </w:r>
    </w:p>
    <w:p w14:paraId="7D4AA167" w14:textId="77777777" w:rsidR="001A6F3B" w:rsidRPr="00CF733F" w:rsidRDefault="001A6F3B" w:rsidP="00B161D3">
      <w:pPr>
        <w:rPr>
          <w:rFonts w:ascii="Avenir Next" w:hAnsi="Avenir Next"/>
        </w:rPr>
      </w:pPr>
    </w:p>
    <w:p w14:paraId="331EF4B7" w14:textId="7D939773" w:rsidR="001A6F3B" w:rsidRDefault="001A6F3B" w:rsidP="00B161D3">
      <w:pPr>
        <w:rPr>
          <w:rFonts w:ascii="Avenir Next" w:eastAsia="Times New Roman" w:hAnsi="Avenir Next"/>
          <w:color w:val="333333"/>
          <w:shd w:val="clear" w:color="auto" w:fill="FFFFFF"/>
        </w:rPr>
      </w:pPr>
    </w:p>
    <w:p w14:paraId="767CF1BD" w14:textId="77777777" w:rsidR="006763C2" w:rsidRDefault="006763C2" w:rsidP="00B161D3">
      <w:pPr>
        <w:rPr>
          <w:rFonts w:ascii="Avenir Next" w:eastAsia="Times New Roman" w:hAnsi="Avenir Next"/>
          <w:color w:val="333333"/>
          <w:shd w:val="clear" w:color="auto" w:fill="FFFFFF"/>
        </w:rPr>
      </w:pPr>
    </w:p>
    <w:p w14:paraId="3252E183" w14:textId="77777777" w:rsidR="006763C2" w:rsidRDefault="006763C2" w:rsidP="00B161D3">
      <w:pPr>
        <w:rPr>
          <w:rFonts w:ascii="Avenir Next" w:eastAsia="Times New Roman" w:hAnsi="Avenir Next"/>
          <w:color w:val="333333"/>
          <w:shd w:val="clear" w:color="auto" w:fill="FFFFFF"/>
        </w:rPr>
      </w:pPr>
    </w:p>
    <w:p w14:paraId="30A23030" w14:textId="77777777" w:rsidR="006763C2" w:rsidRDefault="006763C2" w:rsidP="00B161D3">
      <w:pPr>
        <w:rPr>
          <w:rFonts w:ascii="Avenir Next" w:eastAsia="Times New Roman" w:hAnsi="Avenir Next"/>
          <w:color w:val="333333"/>
          <w:shd w:val="clear" w:color="auto" w:fill="FFFFFF"/>
        </w:rPr>
      </w:pPr>
    </w:p>
    <w:p w14:paraId="56F15ECA" w14:textId="77777777" w:rsidR="00695B25" w:rsidRDefault="00695B25" w:rsidP="00B161D3">
      <w:pPr>
        <w:rPr>
          <w:rFonts w:ascii="Avenir Next" w:eastAsia="Times New Roman" w:hAnsi="Avenir Next"/>
          <w:color w:val="333333"/>
          <w:shd w:val="clear" w:color="auto" w:fill="FFFFFF"/>
        </w:rPr>
      </w:pPr>
    </w:p>
    <w:p w14:paraId="789E786B" w14:textId="77777777" w:rsidR="0008454D" w:rsidRDefault="0008454D" w:rsidP="00B161D3">
      <w:pPr>
        <w:rPr>
          <w:rFonts w:ascii="Avenir Next" w:eastAsia="Times New Roman" w:hAnsi="Avenir Next"/>
          <w:color w:val="333333"/>
          <w:shd w:val="clear" w:color="auto" w:fill="FFFFFF"/>
        </w:rPr>
      </w:pPr>
    </w:p>
    <w:p w14:paraId="04CE4D3E" w14:textId="77777777" w:rsidR="00695B25" w:rsidRPr="00B161D3" w:rsidRDefault="00695B25" w:rsidP="00B161D3">
      <w:pPr>
        <w:rPr>
          <w:rFonts w:ascii="Avenir Next" w:hAnsi="Avenir Next"/>
        </w:rPr>
      </w:pPr>
    </w:p>
    <w:sectPr w:rsidR="00695B25" w:rsidRPr="00B161D3" w:rsidSect="00543E15">
      <w:footerReference w:type="even" r:id="rId8"/>
      <w:footerReference w:type="default" r:id="rId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4CDCE" w14:textId="77777777" w:rsidR="001D5203" w:rsidRDefault="001D5203" w:rsidP="00B161D3">
      <w:r>
        <w:separator/>
      </w:r>
    </w:p>
  </w:endnote>
  <w:endnote w:type="continuationSeparator" w:id="0">
    <w:p w14:paraId="7F793FE0" w14:textId="77777777" w:rsidR="001D5203" w:rsidRDefault="001D5203" w:rsidP="00B161D3">
      <w:r>
        <w:continuationSeparator/>
      </w:r>
    </w:p>
  </w:endnote>
  <w:endnote w:id="1">
    <w:p w14:paraId="078A43B6" w14:textId="77777777" w:rsidR="0087685F" w:rsidRPr="00B12FA4" w:rsidRDefault="0087685F" w:rsidP="0087685F">
      <w:pPr>
        <w:pStyle w:val="EndnoteText"/>
        <w:rPr>
          <w:rFonts w:ascii="Avenir Next" w:hAnsi="Avenir Next"/>
          <w:color w:val="000000" w:themeColor="text1"/>
        </w:rPr>
      </w:pPr>
      <w:r w:rsidRPr="00B12FA4">
        <w:rPr>
          <w:rStyle w:val="EndnoteReference"/>
          <w:rFonts w:ascii="Avenir Next" w:hAnsi="Avenir Next"/>
          <w:color w:val="000000" w:themeColor="text1"/>
        </w:rPr>
        <w:endnoteRef/>
      </w:r>
      <w:r w:rsidRPr="00B12FA4">
        <w:rPr>
          <w:rFonts w:ascii="Avenir Next" w:hAnsi="Avenir Next"/>
          <w:color w:val="000000" w:themeColor="text1"/>
        </w:rPr>
        <w:t xml:space="preserve"> Jean-Claude Guédon, </w:t>
      </w:r>
      <w:r w:rsidRPr="00B12FA4">
        <w:rPr>
          <w:rFonts w:ascii="Avenir Next" w:hAnsi="Avenir Next"/>
          <w:i/>
          <w:iCs/>
          <w:color w:val="000000" w:themeColor="text1"/>
        </w:rPr>
        <w:t>Open Access: Toward the Internet of the Mind</w:t>
      </w:r>
      <w:r w:rsidRPr="00B12FA4">
        <w:rPr>
          <w:rFonts w:ascii="Avenir Next" w:hAnsi="Avenir Next"/>
          <w:color w:val="000000" w:themeColor="text1"/>
        </w:rPr>
        <w:t xml:space="preserve">, BOAI15 Statement, </w:t>
      </w:r>
      <w:r>
        <w:rPr>
          <w:rFonts w:ascii="Avenir Next" w:hAnsi="Avenir Next"/>
          <w:color w:val="000000" w:themeColor="text1"/>
        </w:rPr>
        <w:t>(</w:t>
      </w:r>
      <w:r w:rsidRPr="00B12FA4">
        <w:rPr>
          <w:rFonts w:ascii="Avenir Next" w:hAnsi="Avenir Next"/>
          <w:color w:val="000000" w:themeColor="text1"/>
        </w:rPr>
        <w:t>February 23, 2017</w:t>
      </w:r>
      <w:r>
        <w:rPr>
          <w:rFonts w:ascii="Avenir Next" w:hAnsi="Avenir Next"/>
          <w:color w:val="000000" w:themeColor="text1"/>
        </w:rPr>
        <w:t>)</w:t>
      </w:r>
      <w:r w:rsidRPr="00B12FA4">
        <w:rPr>
          <w:rFonts w:ascii="Avenir Next" w:hAnsi="Avenir Next"/>
          <w:color w:val="000000" w:themeColor="text1"/>
        </w:rPr>
        <w:t xml:space="preserve">, </w:t>
      </w:r>
      <w:hyperlink r:id="rId1" w:history="1">
        <w:r w:rsidRPr="00777E0F">
          <w:rPr>
            <w:rStyle w:val="Hyperlink"/>
            <w:rFonts w:ascii="Avenir Next" w:hAnsi="Avenir Next"/>
          </w:rPr>
          <w:t>http://www.budapestopenaccessinitiative.org/open-access-toward-the-internet-of-the-mind</w:t>
        </w:r>
      </w:hyperlink>
      <w:r>
        <w:rPr>
          <w:rStyle w:val="Hyperlink"/>
          <w:rFonts w:ascii="Avenir Next" w:hAnsi="Avenir Next"/>
        </w:rPr>
        <w:t>.</w:t>
      </w:r>
      <w:r>
        <w:rPr>
          <w:rFonts w:ascii="Avenir Next" w:hAnsi="Avenir Next"/>
          <w:color w:val="0070C0"/>
        </w:rPr>
        <w:t xml:space="preserve"> </w:t>
      </w:r>
    </w:p>
  </w:endnote>
  <w:endnote w:id="2">
    <w:p w14:paraId="1F96E16B" w14:textId="77777777" w:rsidR="0087685F" w:rsidRPr="0082664E" w:rsidRDefault="0087685F" w:rsidP="0087685F">
      <w:pPr>
        <w:pStyle w:val="EndnoteText"/>
        <w:rPr>
          <w:rFonts w:ascii="Avenir Next" w:hAnsi="Avenir Next"/>
        </w:rPr>
      </w:pPr>
      <w:r w:rsidRPr="00B12FA4">
        <w:rPr>
          <w:rStyle w:val="EndnoteReference"/>
          <w:rFonts w:ascii="Avenir Next" w:hAnsi="Avenir Next"/>
          <w:color w:val="000000" w:themeColor="text1"/>
        </w:rPr>
        <w:endnoteRef/>
      </w:r>
      <w:r w:rsidRPr="00B12FA4">
        <w:rPr>
          <w:rFonts w:ascii="Avenir Next" w:hAnsi="Avenir Next"/>
          <w:color w:val="000000" w:themeColor="text1"/>
        </w:rPr>
        <w:t xml:space="preserve"> Kalev Leetaru, “The Internet Made Information Free: Now It Has Come For Academic </w:t>
      </w:r>
      <w:r w:rsidRPr="0082664E">
        <w:rPr>
          <w:rFonts w:ascii="Avenir Next" w:hAnsi="Avenir Next"/>
        </w:rPr>
        <w:t xml:space="preserve">Research,” </w:t>
      </w:r>
      <w:r w:rsidRPr="0082664E">
        <w:rPr>
          <w:rFonts w:ascii="Avenir Next" w:hAnsi="Avenir Next"/>
          <w:i/>
          <w:iCs/>
        </w:rPr>
        <w:t>Forbes</w:t>
      </w:r>
      <w:r w:rsidRPr="0082664E">
        <w:rPr>
          <w:rFonts w:ascii="Avenir Next" w:hAnsi="Avenir Next"/>
        </w:rPr>
        <w:t>, July 31, 2017</w:t>
      </w:r>
      <w:r>
        <w:rPr>
          <w:rFonts w:ascii="Avenir Next" w:hAnsi="Avenir Next"/>
        </w:rPr>
        <w:t>,</w:t>
      </w:r>
      <w:r w:rsidRPr="0082664E">
        <w:rPr>
          <w:rFonts w:ascii="Avenir Next" w:hAnsi="Avenir Next"/>
        </w:rPr>
        <w:t xml:space="preserve"> </w:t>
      </w:r>
      <w:hyperlink r:id="rId2" w:history="1">
        <w:r w:rsidRPr="0082664E">
          <w:rPr>
            <w:rStyle w:val="Hyperlink"/>
            <w:rFonts w:ascii="Avenir Next" w:hAnsi="Avenir Next"/>
          </w:rPr>
          <w:t>https://www.forbes.com/sites/kalevleetaru/2017/07/31/the-internet-made-information-free-now-it-has-come-for-academic-research/#</w:t>
        </w:r>
      </w:hyperlink>
      <w:hyperlink r:id="rId3" w:history="1">
        <w:r w:rsidRPr="0082664E">
          <w:rPr>
            <w:rStyle w:val="Hyperlink"/>
            <w:rFonts w:ascii="Avenir Next" w:hAnsi="Avenir Next"/>
          </w:rPr>
          <w:t>6457e9554640</w:t>
        </w:r>
      </w:hyperlink>
      <w:r>
        <w:rPr>
          <w:rStyle w:val="Hyperlink"/>
          <w:rFonts w:ascii="Avenir Next" w:hAnsi="Avenir Next"/>
        </w:rPr>
        <w:t>.</w:t>
      </w:r>
      <w:r w:rsidRPr="0082664E">
        <w:rPr>
          <w:rFonts w:ascii="Avenir Next" w:hAnsi="Avenir Next"/>
        </w:rPr>
        <w:t xml:space="preserve"> </w:t>
      </w:r>
    </w:p>
  </w:endnote>
  <w:endnote w:id="3">
    <w:p w14:paraId="2A3AFC2F" w14:textId="77777777" w:rsidR="006C6837" w:rsidRPr="00E4323D" w:rsidRDefault="006C6837" w:rsidP="006C6837">
      <w:pPr>
        <w:rPr>
          <w:rFonts w:ascii="Avenir Next" w:eastAsia="Times New Roman" w:hAnsi="Avenir Next"/>
        </w:rPr>
      </w:pPr>
      <w:r w:rsidRPr="00E4323D">
        <w:rPr>
          <w:rStyle w:val="EndnoteReference"/>
          <w:rFonts w:ascii="Avenir Next" w:hAnsi="Avenir Next"/>
        </w:rPr>
        <w:endnoteRef/>
      </w:r>
      <w:r w:rsidRPr="00E4323D">
        <w:rPr>
          <w:rFonts w:ascii="Avenir Next" w:hAnsi="Avenir Next"/>
        </w:rPr>
        <w:t xml:space="preserve"> Lorcan Dempsey, “A New Information Management Landscape: From Outside-In to Inside-Out,” in </w:t>
      </w:r>
      <w:r w:rsidRPr="00E4323D">
        <w:rPr>
          <w:rFonts w:ascii="Avenir Next" w:eastAsia="Times New Roman" w:hAnsi="Avenir Next"/>
          <w:i/>
          <w:color w:val="000000"/>
          <w:shd w:val="clear" w:color="auto" w:fill="FFFFFF"/>
        </w:rPr>
        <w:t>New Roles for the Road Ahead: Essays Commissioned for ACRL’s 75th Anniversary</w:t>
      </w:r>
      <w:r w:rsidRPr="00E4323D">
        <w:rPr>
          <w:rFonts w:ascii="Avenir Next" w:eastAsia="Times New Roman" w:hAnsi="Avenir Next"/>
          <w:color w:val="000000"/>
          <w:shd w:val="clear" w:color="auto" w:fill="FFFFFF"/>
        </w:rPr>
        <w:t xml:space="preserve"> (Chicago, IL: Association of College and Research Libraries, 2015), 50-55, </w:t>
      </w:r>
      <w:hyperlink r:id="rId4" w:history="1">
        <w:r w:rsidRPr="00E4323D">
          <w:rPr>
            <w:rStyle w:val="Hyperlink"/>
            <w:rFonts w:ascii="Avenir Next" w:eastAsia="Times New Roman" w:hAnsi="Avenir Next"/>
            <w:shd w:val="clear" w:color="auto" w:fill="FFFFFF"/>
          </w:rPr>
          <w:t>http://www.ala.org/acrl/sites/ala.org.acrl/files/content/publications/whitepapers/new_roles_75th.pdf</w:t>
        </w:r>
      </w:hyperlink>
      <w:r w:rsidRPr="00E4323D">
        <w:rPr>
          <w:rStyle w:val="Hyperlink"/>
          <w:rFonts w:ascii="Avenir Next" w:eastAsia="Times New Roman" w:hAnsi="Avenir Next"/>
          <w:shd w:val="clear" w:color="auto" w:fill="FFFFFF"/>
        </w:rPr>
        <w:t xml:space="preserve"> </w:t>
      </w:r>
    </w:p>
  </w:endnote>
  <w:endnote w:id="4">
    <w:p w14:paraId="60C2AE80" w14:textId="77777777" w:rsidR="00053384" w:rsidRPr="00784F50" w:rsidRDefault="00053384" w:rsidP="00053384">
      <w:pPr>
        <w:pStyle w:val="NormalWeb"/>
        <w:spacing w:before="0" w:beforeAutospacing="0" w:after="0" w:afterAutospacing="0"/>
        <w:rPr>
          <w:rFonts w:ascii="Avenir Next" w:hAnsi="Avenir Next"/>
          <w:color w:val="000000" w:themeColor="text1"/>
        </w:rPr>
      </w:pPr>
      <w:r w:rsidRPr="002322D9">
        <w:rPr>
          <w:rStyle w:val="EndnoteReference"/>
          <w:rFonts w:ascii="Avenir Next" w:hAnsi="Avenir Next"/>
          <w:color w:val="000000" w:themeColor="text1"/>
        </w:rPr>
        <w:endnoteRef/>
      </w:r>
      <w:r w:rsidRPr="002322D9">
        <w:rPr>
          <w:rFonts w:ascii="Avenir Next" w:hAnsi="Avenir Next"/>
          <w:color w:val="000000" w:themeColor="text1"/>
        </w:rPr>
        <w:t xml:space="preserve"> U.S. Department of Education, </w:t>
      </w:r>
      <w:r w:rsidRPr="002322D9">
        <w:rPr>
          <w:rFonts w:ascii="Avenir Next" w:hAnsi="Avenir Next" w:cs="Tahoma"/>
          <w:i/>
          <w:color w:val="000000" w:themeColor="text1"/>
        </w:rPr>
        <w:t>Academic Libraries: 2012. First Look</w:t>
      </w:r>
      <w:r w:rsidRPr="002322D9">
        <w:rPr>
          <w:rFonts w:ascii="Avenir Next" w:hAnsi="Avenir Next" w:cs="Tahoma"/>
          <w:color w:val="000000" w:themeColor="text1"/>
        </w:rPr>
        <w:t xml:space="preserve"> (Washington, DC: National Center for Educational Statistics, January 2014):  Pages 10 and 12,</w:t>
      </w:r>
      <w:r>
        <w:rPr>
          <w:rFonts w:ascii="Avenir Next" w:hAnsi="Avenir Next" w:cs="Tahoma"/>
          <w:color w:val="000000" w:themeColor="text1"/>
        </w:rPr>
        <w:t xml:space="preserve"> </w:t>
      </w:r>
      <w:r w:rsidRPr="0082664E">
        <w:rPr>
          <w:rFonts w:ascii="Avenir Next" w:hAnsi="Avenir Next" w:cs="Tahoma"/>
          <w:color w:val="000000" w:themeColor="text1"/>
        </w:rPr>
        <w:t xml:space="preserve"> </w:t>
      </w:r>
      <w:hyperlink r:id="rId5" w:history="1">
        <w:r w:rsidRPr="0082664E">
          <w:rPr>
            <w:rStyle w:val="Hyperlink"/>
            <w:rFonts w:ascii="Avenir Next" w:hAnsi="Avenir Next" w:cs="Tahoma"/>
            <w:color w:val="0070C0"/>
          </w:rPr>
          <w:t>https://nces.ed.gov/pubs2014/2014038.pdf</w:t>
        </w:r>
      </w:hyperlink>
      <w:r>
        <w:rPr>
          <w:rStyle w:val="Hyperlink"/>
          <w:rFonts w:ascii="Avenir Next" w:hAnsi="Avenir Next" w:cs="Tahoma"/>
          <w:color w:val="0070C0"/>
        </w:rPr>
        <w:t>.</w:t>
      </w:r>
    </w:p>
  </w:endnote>
  <w:endnote w:id="5">
    <w:p w14:paraId="27AD48AE" w14:textId="77777777" w:rsidR="00053384" w:rsidRPr="00D01078" w:rsidRDefault="00053384" w:rsidP="00053384">
      <w:pPr>
        <w:pStyle w:val="EndnoteText"/>
        <w:rPr>
          <w:rFonts w:ascii="Avenir Next" w:hAnsi="Avenir Next"/>
          <w:i/>
          <w:color w:val="000000" w:themeColor="text1"/>
        </w:rPr>
      </w:pPr>
      <w:r w:rsidRPr="00784F50">
        <w:rPr>
          <w:rStyle w:val="EndnoteReference"/>
          <w:rFonts w:ascii="Avenir Next" w:hAnsi="Avenir Next"/>
          <w:color w:val="000000" w:themeColor="text1"/>
        </w:rPr>
        <w:endnoteRef/>
      </w:r>
      <w:r w:rsidRPr="00784F50">
        <w:rPr>
          <w:rFonts w:ascii="Avenir Next" w:hAnsi="Avenir Next"/>
          <w:color w:val="000000" w:themeColor="text1"/>
        </w:rPr>
        <w:t xml:space="preserve"> Shaneka</w:t>
      </w:r>
      <w:r>
        <w:rPr>
          <w:rFonts w:ascii="Avenir Next" w:hAnsi="Avenir Next"/>
          <w:color w:val="000000" w:themeColor="text1"/>
        </w:rPr>
        <w:t xml:space="preserve"> Morris and Gary Roebuck, </w:t>
      </w:r>
      <w:r w:rsidRPr="00517393">
        <w:rPr>
          <w:rFonts w:ascii="Avenir Next" w:hAnsi="Avenir Next"/>
          <w:i/>
          <w:color w:val="000000" w:themeColor="text1"/>
        </w:rPr>
        <w:t>ARL Statistics 2014-2015</w:t>
      </w:r>
      <w:r w:rsidRPr="00517393">
        <w:rPr>
          <w:rFonts w:ascii="Avenir Next" w:hAnsi="Avenir Next"/>
          <w:color w:val="000000" w:themeColor="text1"/>
        </w:rPr>
        <w:t xml:space="preserve"> </w:t>
      </w:r>
      <w:r>
        <w:rPr>
          <w:rFonts w:ascii="Avenir Next" w:hAnsi="Avenir Next"/>
          <w:color w:val="000000" w:themeColor="text1"/>
        </w:rPr>
        <w:t>(</w:t>
      </w:r>
      <w:r w:rsidRPr="00517393">
        <w:rPr>
          <w:rFonts w:ascii="Avenir Next" w:hAnsi="Avenir Next"/>
          <w:color w:val="000000" w:themeColor="text1"/>
        </w:rPr>
        <w:t xml:space="preserve">Washington, DC: </w:t>
      </w:r>
      <w:r w:rsidRPr="00D01078">
        <w:rPr>
          <w:rFonts w:ascii="Avenir Next" w:hAnsi="Avenir Next"/>
          <w:i/>
          <w:color w:val="000000" w:themeColor="text1"/>
        </w:rPr>
        <w:t xml:space="preserve">Association of Research Libraries, 2017): Pages 21 and 9, </w:t>
      </w:r>
      <w:hyperlink r:id="rId6" w:history="1">
        <w:r w:rsidRPr="00D01078">
          <w:rPr>
            <w:rStyle w:val="Hyperlink"/>
            <w:rFonts w:ascii="Avenir Next" w:hAnsi="Avenir Next"/>
            <w:i/>
            <w:color w:val="0070C0"/>
          </w:rPr>
          <w:t>http://publications.arl.org/ARL-Statistics-2014-2015/</w:t>
        </w:r>
      </w:hyperlink>
      <w:r w:rsidRPr="00D01078">
        <w:rPr>
          <w:rStyle w:val="Hyperlink"/>
          <w:rFonts w:ascii="Avenir Next" w:hAnsi="Avenir Next"/>
          <w:i/>
          <w:color w:val="0070C0"/>
        </w:rPr>
        <w:t>.</w:t>
      </w:r>
      <w:r w:rsidRPr="00D01078">
        <w:rPr>
          <w:rFonts w:ascii="Avenir Next" w:hAnsi="Avenir Next"/>
          <w:i/>
          <w:color w:val="0070C0"/>
        </w:rPr>
        <w:t xml:space="preserve"> </w:t>
      </w:r>
    </w:p>
  </w:endnote>
  <w:endnote w:id="6">
    <w:p w14:paraId="06A0F617" w14:textId="77777777" w:rsidR="00B161D3" w:rsidRPr="00EF56A2" w:rsidRDefault="00B161D3" w:rsidP="00B161D3">
      <w:pPr>
        <w:rPr>
          <w:rFonts w:ascii="Avenir Next" w:eastAsia="Times New Roman" w:hAnsi="Avenir Next"/>
        </w:rPr>
      </w:pPr>
      <w:r w:rsidRPr="002322D9">
        <w:rPr>
          <w:rStyle w:val="EndnoteReference"/>
          <w:rFonts w:ascii="Avenir Next" w:hAnsi="Avenir Next"/>
        </w:rPr>
        <w:endnoteRef/>
      </w:r>
      <w:r w:rsidRPr="002322D9">
        <w:rPr>
          <w:rFonts w:ascii="Avenir Next" w:hAnsi="Avenir Next"/>
        </w:rPr>
        <w:t xml:space="preserve"> </w:t>
      </w:r>
      <w:r w:rsidRPr="002322D9">
        <w:rPr>
          <w:rFonts w:ascii="Avenir Next" w:eastAsia="Times New Roman" w:hAnsi="Avenir Next"/>
          <w:iCs/>
          <w:color w:val="000000"/>
          <w:bdr w:val="none" w:sz="0" w:space="0" w:color="auto" w:frame="1"/>
        </w:rPr>
        <w:t>John Wenzler</w:t>
      </w:r>
      <w:r w:rsidRPr="002322D9">
        <w:rPr>
          <w:rFonts w:ascii="Avenir Next" w:eastAsia="Times New Roman" w:hAnsi="Avenir Next"/>
        </w:rPr>
        <w:t>, “</w:t>
      </w:r>
      <w:r w:rsidRPr="002322D9">
        <w:rPr>
          <w:rFonts w:ascii="Avenir Next" w:eastAsia="Times New Roman" w:hAnsi="Avenir Next"/>
          <w:color w:val="000000"/>
        </w:rPr>
        <w:t xml:space="preserve">Scholarly Communication and the Dilemma of Collective Action: </w:t>
      </w:r>
      <w:r w:rsidRPr="00EF56A2">
        <w:rPr>
          <w:rFonts w:ascii="Avenir Next" w:eastAsia="Times New Roman" w:hAnsi="Avenir Next"/>
          <w:color w:val="000000"/>
        </w:rPr>
        <w:t xml:space="preserve">Why Academic Journals Cost Too Much,” </w:t>
      </w:r>
      <w:r w:rsidRPr="00EF56A2">
        <w:rPr>
          <w:rFonts w:ascii="Avenir Next" w:eastAsia="Times New Roman" w:hAnsi="Avenir Next"/>
          <w:i/>
          <w:color w:val="000000"/>
        </w:rPr>
        <w:t>College &amp; Research Libraries</w:t>
      </w:r>
      <w:r w:rsidRPr="00EF56A2">
        <w:rPr>
          <w:rFonts w:ascii="Avenir Next" w:eastAsia="Times New Roman" w:hAnsi="Avenir Next"/>
          <w:color w:val="000000"/>
        </w:rPr>
        <w:t xml:space="preserve"> 78(2):192 February 2017 </w:t>
      </w:r>
      <w:r w:rsidRPr="00EF56A2">
        <w:rPr>
          <w:rFonts w:ascii="Avenir Next" w:eastAsia="Times New Roman" w:hAnsi="Avenir Next"/>
          <w:color w:val="000000"/>
          <w:shd w:val="clear" w:color="auto" w:fill="FFFFFF"/>
        </w:rPr>
        <w:t>doi:</w:t>
      </w:r>
      <w:r w:rsidRPr="00EF56A2">
        <w:rPr>
          <w:rStyle w:val="apple-converted-space"/>
          <w:rFonts w:ascii="Avenir Next" w:eastAsia="Times New Roman" w:hAnsi="Avenir Next"/>
          <w:color w:val="000000"/>
          <w:shd w:val="clear" w:color="auto" w:fill="FFFFFF"/>
        </w:rPr>
        <w:t> </w:t>
      </w:r>
      <w:hyperlink r:id="rId7" w:history="1">
        <w:r w:rsidRPr="00EF56A2">
          <w:rPr>
            <w:rStyle w:val="Hyperlink"/>
            <w:rFonts w:ascii="Avenir Next" w:eastAsia="Times New Roman" w:hAnsi="Avenir Next"/>
            <w:color w:val="0070C0"/>
            <w:bdr w:val="none" w:sz="0" w:space="0" w:color="auto" w:frame="1"/>
          </w:rPr>
          <w:t>https://doi.org/10.5860/crl.78.2.16581</w:t>
        </w:r>
      </w:hyperlink>
      <w:r w:rsidRPr="00EF56A2">
        <w:rPr>
          <w:rFonts w:ascii="Avenir Next" w:eastAsia="Times New Roman" w:hAnsi="Avenir Next"/>
          <w:color w:val="0070C0"/>
        </w:rPr>
        <w:t xml:space="preserve"> </w:t>
      </w:r>
    </w:p>
  </w:endnote>
  <w:endnote w:id="7">
    <w:p w14:paraId="680D90A4" w14:textId="77777777" w:rsidR="00B161D3" w:rsidRPr="0008454D" w:rsidRDefault="00B161D3" w:rsidP="00B161D3">
      <w:pPr>
        <w:rPr>
          <w:rFonts w:ascii="Avenir Next" w:eastAsia="Times New Roman" w:hAnsi="Avenir Next"/>
        </w:rPr>
      </w:pPr>
      <w:r w:rsidRPr="0008454D">
        <w:rPr>
          <w:rStyle w:val="EndnoteReference"/>
          <w:rFonts w:ascii="Avenir Next" w:hAnsi="Avenir Next"/>
        </w:rPr>
        <w:endnoteRef/>
      </w:r>
      <w:r w:rsidRPr="0008454D">
        <w:rPr>
          <w:rFonts w:ascii="Avenir Next" w:hAnsi="Avenir Next"/>
        </w:rPr>
        <w:t xml:space="preserve"> </w:t>
      </w:r>
      <w:r w:rsidRPr="0008454D">
        <w:rPr>
          <w:rFonts w:ascii="Avenir Next" w:eastAsia="Times New Roman" w:hAnsi="Avenir Next"/>
          <w:iCs/>
          <w:color w:val="000000"/>
          <w:bdr w:val="none" w:sz="0" w:space="0" w:color="auto" w:frame="1"/>
        </w:rPr>
        <w:t>John Wenzler</w:t>
      </w:r>
      <w:r w:rsidRPr="0008454D">
        <w:rPr>
          <w:rFonts w:ascii="Avenir Next" w:eastAsia="Times New Roman" w:hAnsi="Avenir Next"/>
        </w:rPr>
        <w:t>, “</w:t>
      </w:r>
      <w:r w:rsidRPr="0008454D">
        <w:rPr>
          <w:rFonts w:ascii="Avenir Next" w:eastAsia="Times New Roman" w:hAnsi="Avenir Next"/>
          <w:color w:val="000000"/>
        </w:rPr>
        <w:t xml:space="preserve">Scholarly Communication and the Dilemma of Collective Action: Why Academic Journals Cost Too Much,” </w:t>
      </w:r>
      <w:r w:rsidRPr="0008454D">
        <w:rPr>
          <w:rFonts w:ascii="Avenir Next" w:eastAsia="Times New Roman" w:hAnsi="Avenir Next"/>
          <w:i/>
          <w:color w:val="000000"/>
        </w:rPr>
        <w:t>College &amp; Research Libraries</w:t>
      </w:r>
      <w:r w:rsidRPr="0008454D">
        <w:rPr>
          <w:rFonts w:ascii="Avenir Next" w:eastAsia="Times New Roman" w:hAnsi="Avenir Next"/>
          <w:color w:val="000000"/>
        </w:rPr>
        <w:t xml:space="preserve"> 78(2):197 February 2017 </w:t>
      </w:r>
      <w:r w:rsidRPr="0008454D">
        <w:rPr>
          <w:rFonts w:ascii="Avenir Next" w:eastAsia="Times New Roman" w:hAnsi="Avenir Next"/>
          <w:color w:val="000000"/>
          <w:shd w:val="clear" w:color="auto" w:fill="FFFFFF"/>
        </w:rPr>
        <w:t>doi:</w:t>
      </w:r>
      <w:r w:rsidRPr="0008454D">
        <w:rPr>
          <w:rStyle w:val="apple-converted-space"/>
          <w:rFonts w:ascii="Avenir Next" w:eastAsia="Times New Roman" w:hAnsi="Avenir Next"/>
          <w:color w:val="000000"/>
          <w:shd w:val="clear" w:color="auto" w:fill="FFFFFF"/>
        </w:rPr>
        <w:t> </w:t>
      </w:r>
      <w:hyperlink r:id="rId8" w:history="1">
        <w:r w:rsidRPr="0008454D">
          <w:rPr>
            <w:rStyle w:val="Hyperlink"/>
            <w:rFonts w:ascii="Avenir Next" w:eastAsia="Times New Roman" w:hAnsi="Avenir Next"/>
            <w:color w:val="0070C0"/>
            <w:bdr w:val="none" w:sz="0" w:space="0" w:color="auto" w:frame="1"/>
          </w:rPr>
          <w:t>https://doi.org/10.5860/crl.78.2.16581</w:t>
        </w:r>
      </w:hyperlink>
      <w:r w:rsidRPr="0008454D">
        <w:rPr>
          <w:rFonts w:ascii="Avenir Next" w:eastAsia="Times New Roman" w:hAnsi="Avenir Next"/>
          <w:color w:val="0070C0"/>
        </w:rPr>
        <w:t xml:space="preserve"> </w:t>
      </w:r>
    </w:p>
  </w:endnote>
  <w:endnote w:id="8">
    <w:p w14:paraId="2AB33EF1" w14:textId="142DA7E0" w:rsidR="00CF733F" w:rsidRPr="00826D95" w:rsidRDefault="00CF733F" w:rsidP="00826D95">
      <w:pPr>
        <w:pStyle w:val="EndnoteText"/>
        <w:rPr>
          <w:rFonts w:ascii="Avenir Next" w:hAnsi="Avenir Next"/>
          <w:color w:val="000000" w:themeColor="text1"/>
        </w:rPr>
      </w:pPr>
      <w:r w:rsidRPr="0008454D">
        <w:rPr>
          <w:rStyle w:val="EndnoteReference"/>
          <w:rFonts w:ascii="Avenir Next" w:hAnsi="Avenir Next"/>
        </w:rPr>
        <w:endnoteRef/>
      </w:r>
      <w:r w:rsidRPr="0008454D">
        <w:rPr>
          <w:rFonts w:ascii="Avenir Next" w:hAnsi="Avenir Next"/>
        </w:rPr>
        <w:t xml:space="preserve"> </w:t>
      </w:r>
      <w:r w:rsidRPr="0008454D">
        <w:rPr>
          <w:rFonts w:ascii="Avenir Next" w:eastAsia="Times New Roman" w:hAnsi="Avenir Next" w:cs="Arial"/>
          <w:iCs/>
          <w:color w:val="000000"/>
        </w:rPr>
        <w:t>Jefferson Pooley, “Scholarly Communications Shouldn’t Just Be Open, But Non-</w:t>
      </w:r>
      <w:r w:rsidRPr="00826D95">
        <w:rPr>
          <w:rFonts w:ascii="Avenir Next" w:eastAsia="Times New Roman" w:hAnsi="Avenir Next" w:cs="Arial"/>
          <w:iCs/>
          <w:color w:val="000000" w:themeColor="text1"/>
        </w:rPr>
        <w:t>Profit Too,”</w:t>
      </w:r>
      <w:r w:rsidRPr="00826D95">
        <w:rPr>
          <w:rFonts w:ascii="Avenir Next" w:eastAsia="Times New Roman" w:hAnsi="Avenir Next" w:cs="Arial"/>
          <w:i/>
          <w:iCs/>
          <w:color w:val="000000" w:themeColor="text1"/>
        </w:rPr>
        <w:t xml:space="preserve"> LSE (London School of Economics) Impact Blog</w:t>
      </w:r>
      <w:r w:rsidRPr="00826D95">
        <w:rPr>
          <w:rFonts w:ascii="Avenir Next" w:eastAsia="Times New Roman" w:hAnsi="Avenir Next"/>
          <w:color w:val="000000" w:themeColor="text1"/>
        </w:rPr>
        <w:t xml:space="preserve"> August 15, 2017 </w:t>
      </w:r>
      <w:hyperlink r:id="rId9" w:history="1">
        <w:r w:rsidRPr="00826D95">
          <w:rPr>
            <w:rStyle w:val="Hyperlink"/>
            <w:rFonts w:ascii="Avenir Next" w:eastAsia="Times New Roman" w:hAnsi="Avenir Next"/>
            <w:color w:val="0070C0"/>
          </w:rPr>
          <w:t>http://blogs.lse.ac.uk/impactofsocialsciences/2017/08/15/scholarly-communications-shouldnt-just-be-open-but-non-profit-too/</w:t>
        </w:r>
      </w:hyperlink>
      <w:r w:rsidR="00826D95" w:rsidRPr="00826D95">
        <w:rPr>
          <w:rStyle w:val="Hyperlink"/>
          <w:rFonts w:ascii="Avenir Next" w:eastAsia="Times New Roman" w:hAnsi="Avenir Next"/>
          <w:color w:val="0070C0"/>
        </w:rPr>
        <w:t xml:space="preserve"> </w:t>
      </w:r>
    </w:p>
  </w:endnote>
  <w:endnote w:id="9">
    <w:p w14:paraId="5D219440" w14:textId="62919336" w:rsidR="00826D95" w:rsidRPr="00826D95" w:rsidRDefault="00826D95" w:rsidP="00826D95">
      <w:pPr>
        <w:pStyle w:val="Heading1"/>
        <w:spacing w:before="0"/>
        <w:textAlignment w:val="baseline"/>
        <w:rPr>
          <w:rFonts w:ascii="Avenir Next" w:eastAsia="Times New Roman" w:hAnsi="Avenir Next" w:cs="Times New Roman"/>
          <w:color w:val="000000" w:themeColor="text1"/>
          <w:sz w:val="24"/>
          <w:szCs w:val="24"/>
        </w:rPr>
      </w:pPr>
      <w:r w:rsidRPr="00826D95">
        <w:rPr>
          <w:rStyle w:val="EndnoteReference"/>
          <w:rFonts w:ascii="Avenir Next" w:hAnsi="Avenir Next"/>
          <w:color w:val="000000" w:themeColor="text1"/>
          <w:sz w:val="24"/>
          <w:szCs w:val="24"/>
        </w:rPr>
        <w:endnoteRef/>
      </w:r>
      <w:r w:rsidRPr="00826D95">
        <w:rPr>
          <w:rFonts w:ascii="Avenir Next" w:hAnsi="Avenir Next"/>
          <w:color w:val="000000" w:themeColor="text1"/>
          <w:sz w:val="24"/>
          <w:szCs w:val="24"/>
        </w:rPr>
        <w:t xml:space="preserve"> </w:t>
      </w:r>
      <w:r w:rsidRPr="00826D95">
        <w:rPr>
          <w:rStyle w:val="apple-converted-space"/>
          <w:rFonts w:ascii="Avenir Next" w:eastAsia="Times New Roman" w:hAnsi="Avenir Next" w:cs="Arial"/>
          <w:color w:val="000000" w:themeColor="text1"/>
          <w:sz w:val="24"/>
          <w:szCs w:val="24"/>
          <w:shd w:val="clear" w:color="auto" w:fill="FFFFFF"/>
        </w:rPr>
        <w:t>Heather Joseph and Kathleen Shearer</w:t>
      </w:r>
      <w:r w:rsidRPr="00826D95">
        <w:rPr>
          <w:rStyle w:val="apple-converted-space"/>
          <w:rFonts w:ascii="Avenir Next" w:eastAsia="Times New Roman" w:hAnsi="Avenir Next" w:cs="Arial"/>
          <w:color w:val="000000" w:themeColor="text1"/>
          <w:sz w:val="24"/>
          <w:szCs w:val="24"/>
          <w:shd w:val="clear" w:color="auto" w:fill="FFFFFF"/>
        </w:rPr>
        <w:t>, “</w:t>
      </w:r>
      <w:r>
        <w:rPr>
          <w:rFonts w:ascii="Avenir Next" w:eastAsia="Times New Roman" w:hAnsi="Avenir Next"/>
          <w:bCs/>
          <w:color w:val="000000" w:themeColor="text1"/>
          <w:sz w:val="24"/>
          <w:szCs w:val="24"/>
        </w:rPr>
        <w:t>Elsevier Acquisition Highlights the Need for Community-Based Scholarly Communication I</w:t>
      </w:r>
      <w:r w:rsidRPr="00826D95">
        <w:rPr>
          <w:rFonts w:ascii="Avenir Next" w:eastAsia="Times New Roman" w:hAnsi="Avenir Next"/>
          <w:bCs/>
          <w:color w:val="000000" w:themeColor="text1"/>
          <w:sz w:val="24"/>
          <w:szCs w:val="24"/>
        </w:rPr>
        <w:t>nfrastructure</w:t>
      </w:r>
      <w:r>
        <w:rPr>
          <w:rFonts w:ascii="Avenir Next" w:eastAsia="Times New Roman" w:hAnsi="Avenir Next"/>
          <w:bCs/>
          <w:color w:val="000000" w:themeColor="text1"/>
          <w:sz w:val="24"/>
          <w:szCs w:val="24"/>
        </w:rPr>
        <w:t xml:space="preserve">,” </w:t>
      </w:r>
      <w:hyperlink r:id="rId10" w:history="1">
        <w:r w:rsidRPr="00C4250E">
          <w:rPr>
            <w:rStyle w:val="Hyperlink"/>
            <w:rFonts w:ascii="Avenir Next" w:eastAsia="Times New Roman" w:hAnsi="Avenir Next"/>
            <w:bCs/>
            <w:sz w:val="24"/>
            <w:szCs w:val="24"/>
          </w:rPr>
          <w:t>https://sparcopen.org/news/2017/elsevier-acquisition-highlights-the-need-for-community-based-scholarly-communication-infrastructure/#3</w:t>
        </w:r>
      </w:hyperlink>
      <w:r>
        <w:rPr>
          <w:rFonts w:ascii="Avenir Next" w:eastAsia="Times New Roman" w:hAnsi="Avenir Next"/>
          <w:bCs/>
          <w:color w:val="000000" w:themeColor="text1"/>
          <w:sz w:val="24"/>
          <w:szCs w:val="24"/>
        </w:rPr>
        <w:t xml:space="preserve"> </w:t>
      </w:r>
    </w:p>
  </w:endnote>
  <w:endnote w:id="10">
    <w:p w14:paraId="0220B48E" w14:textId="7E03CB3E" w:rsidR="00E05DC0" w:rsidRPr="00826D95" w:rsidRDefault="00E05DC0" w:rsidP="00826D95">
      <w:pPr>
        <w:pStyle w:val="EndnoteText"/>
        <w:rPr>
          <w:rFonts w:ascii="Avenir Next" w:hAnsi="Avenir Next"/>
          <w:color w:val="000000" w:themeColor="text1"/>
        </w:rPr>
      </w:pPr>
      <w:r w:rsidRPr="00826D95">
        <w:rPr>
          <w:rStyle w:val="EndnoteReference"/>
          <w:rFonts w:ascii="Avenir Next" w:hAnsi="Avenir Next"/>
          <w:color w:val="000000" w:themeColor="text1"/>
        </w:rPr>
        <w:endnoteRef/>
      </w:r>
      <w:r w:rsidRPr="00826D95">
        <w:rPr>
          <w:rFonts w:ascii="Avenir Next" w:hAnsi="Avenir Next"/>
          <w:color w:val="000000" w:themeColor="text1"/>
        </w:rPr>
        <w:t xml:space="preserve"> David W. Lewis, </w:t>
      </w:r>
      <w:r w:rsidRPr="00826D95">
        <w:rPr>
          <w:rFonts w:ascii="Avenir Next" w:hAnsi="Avenir Next"/>
          <w:i/>
          <w:color w:val="000000" w:themeColor="text1"/>
        </w:rPr>
        <w:t>Reimagining the Academic Library</w:t>
      </w:r>
      <w:r w:rsidRPr="00826D95">
        <w:rPr>
          <w:rFonts w:ascii="Avenir Next" w:hAnsi="Avenir Next"/>
          <w:color w:val="000000" w:themeColor="text1"/>
        </w:rPr>
        <w:t>, Lanham, MD: Rowman &amp; Littlefield, 2016</w:t>
      </w:r>
      <w:r w:rsidR="00092AE2" w:rsidRPr="00826D95">
        <w:rPr>
          <w:rFonts w:ascii="Avenir Next" w:hAnsi="Avenir Next"/>
          <w:color w:val="000000" w:themeColor="text1"/>
        </w:rPr>
        <w:t>, page 158</w:t>
      </w:r>
      <w:r w:rsidR="0079697F" w:rsidRPr="00826D95">
        <w:rPr>
          <w:rFonts w:ascii="Avenir Next" w:hAnsi="Avenir Next"/>
          <w:color w:val="000000" w:themeColor="text1"/>
        </w:rPr>
        <w:t>.</w:t>
      </w:r>
    </w:p>
  </w:endnote>
  <w:endnote w:id="11">
    <w:p w14:paraId="7DC55DBC" w14:textId="69B8FBBD" w:rsidR="0008454D" w:rsidRPr="0008454D" w:rsidRDefault="0008454D" w:rsidP="00826D95">
      <w:pPr>
        <w:rPr>
          <w:rFonts w:ascii="Avenir Next" w:eastAsia="Times New Roman" w:hAnsi="Avenir Next"/>
        </w:rPr>
      </w:pPr>
      <w:r w:rsidRPr="00826D95">
        <w:rPr>
          <w:rStyle w:val="EndnoteReference"/>
          <w:rFonts w:ascii="Avenir Next" w:hAnsi="Avenir Next"/>
          <w:color w:val="000000" w:themeColor="text1"/>
        </w:rPr>
        <w:endnoteRef/>
      </w:r>
      <w:r w:rsidRPr="00826D95">
        <w:rPr>
          <w:rFonts w:ascii="Avenir Next" w:hAnsi="Avenir Next"/>
          <w:color w:val="000000" w:themeColor="text1"/>
        </w:rPr>
        <w:t xml:space="preserve"> The idea for a system to monitor contributions comes from Michael Roy.  See: </w:t>
      </w:r>
      <w:r w:rsidRPr="0008454D">
        <w:rPr>
          <w:rFonts w:ascii="Avenir Next" w:hAnsi="Avenir Next"/>
        </w:rPr>
        <w:t>Michael Roy, “</w:t>
      </w:r>
      <w:r w:rsidRPr="0008454D">
        <w:rPr>
          <w:rFonts w:ascii="Avenir Next" w:eastAsia="Times New Roman" w:hAnsi="Avenir Next" w:cs="Arial"/>
          <w:color w:val="000000"/>
        </w:rPr>
        <w:t xml:space="preserve">1% for Open,” </w:t>
      </w:r>
      <w:hyperlink r:id="rId11" w:anchor="heading=h.4lr3bebtwqqc" w:history="1">
        <w:r w:rsidRPr="0008454D">
          <w:rPr>
            <w:rStyle w:val="Hyperlink"/>
            <w:rFonts w:ascii="Avenir Next" w:eastAsia="Times New Roman" w:hAnsi="Avenir Next" w:cs="Arial"/>
          </w:rPr>
          <w:t>https://docs.google.com/document/d/1JJKvciLGV_kTcJtT3xHH_2Keig8z0sWw64pk6T4SBJ0/edit#heading=h.4lr3bebtwqqc</w:t>
        </w:r>
      </w:hyperlink>
      <w:r w:rsidRPr="0008454D">
        <w:rPr>
          <w:rFonts w:ascii="Avenir Next" w:eastAsia="Times New Roman" w:hAnsi="Avenir Next" w:cs="Arial"/>
          <w:color w:val="000000"/>
        </w:rPr>
        <w:t xml:space="preserve"> </w:t>
      </w:r>
    </w:p>
  </w:endnote>
  <w:endnote w:id="12">
    <w:p w14:paraId="3FE62579" w14:textId="7B552CD6" w:rsidR="00EF56BA" w:rsidRPr="00CC32B8" w:rsidRDefault="00EF56BA" w:rsidP="00CC32B8">
      <w:pPr>
        <w:pStyle w:val="NormalWeb"/>
        <w:shd w:val="clear" w:color="auto" w:fill="FFFFFF"/>
        <w:spacing w:before="0" w:beforeAutospacing="0" w:after="0" w:afterAutospacing="0"/>
        <w:rPr>
          <w:rFonts w:ascii="Avenir Next" w:hAnsi="Avenir Next"/>
        </w:rPr>
      </w:pPr>
      <w:r w:rsidRPr="0008454D">
        <w:rPr>
          <w:rStyle w:val="EndnoteReference"/>
          <w:rFonts w:ascii="Avenir Next" w:hAnsi="Avenir Next"/>
        </w:rPr>
        <w:endnoteRef/>
      </w:r>
      <w:r w:rsidRPr="0008454D">
        <w:rPr>
          <w:rFonts w:ascii="Avenir Next" w:hAnsi="Avenir Next"/>
        </w:rPr>
        <w:t xml:space="preserve"> </w:t>
      </w:r>
      <w:r w:rsidRPr="0008454D">
        <w:rPr>
          <w:rFonts w:ascii="Avenir Next" w:hAnsi="Avenir Next"/>
          <w:i/>
        </w:rPr>
        <w:t>2016/17 Annual Report to the Community: Take Control of Your Publishing</w:t>
      </w:r>
      <w:r w:rsidRPr="0008454D">
        <w:rPr>
          <w:rFonts w:ascii="Avenir Next" w:hAnsi="Avenir Next"/>
        </w:rPr>
        <w:t>, Public Knowledge Project, 2017,</w:t>
      </w:r>
      <w:r w:rsidRPr="00547646">
        <w:rPr>
          <w:rFonts w:ascii="Avenir Next" w:hAnsi="Avenir Next"/>
        </w:rPr>
        <w:t xml:space="preserve"> page 22, </w:t>
      </w:r>
      <w:hyperlink r:id="rId12" w:history="1">
        <w:r w:rsidRPr="00547646">
          <w:rPr>
            <w:rStyle w:val="Hyperlink"/>
            <w:rFonts w:ascii="Avenir Next" w:hAnsi="Avenir Next"/>
          </w:rPr>
          <w:t>https://pkp.sfu.ca/wp-content/uploads/2017/06/PKP-2016-Annual-Report.pdf</w:t>
        </w:r>
      </w:hyperlink>
      <w:r w:rsidR="00547646" w:rsidRPr="00547646">
        <w:rPr>
          <w:rFonts w:ascii="Avenir Next" w:hAnsi="Avenir Next"/>
        </w:rPr>
        <w:t>; “</w:t>
      </w:r>
      <w:r w:rsidR="00547646" w:rsidRPr="00547646">
        <w:rPr>
          <w:rFonts w:ascii="Avenir Next" w:hAnsi="Avenir Next"/>
          <w:bCs/>
        </w:rPr>
        <w:t xml:space="preserve">2016-2017 Budget Report Member &amp; Finance Committee,” </w:t>
      </w:r>
      <w:r w:rsidR="00547646" w:rsidRPr="00547646">
        <w:rPr>
          <w:rFonts w:ascii="Avenir Next" w:hAnsi="Avenir Next"/>
        </w:rPr>
        <w:t xml:space="preserve">HathiTrust 2016 Member Meeting November 10, </w:t>
      </w:r>
      <w:r w:rsidR="00547646" w:rsidRPr="00CC32B8">
        <w:rPr>
          <w:rFonts w:ascii="Avenir Next" w:hAnsi="Avenir Next"/>
        </w:rPr>
        <w:t xml:space="preserve">2016, </w:t>
      </w:r>
      <w:hyperlink r:id="rId13" w:history="1">
        <w:r w:rsidR="00547646" w:rsidRPr="00CC32B8">
          <w:rPr>
            <w:rStyle w:val="Hyperlink"/>
            <w:rFonts w:ascii="Avenir Next" w:hAnsi="Avenir Next"/>
          </w:rPr>
          <w:t>https://www.hathitrust.org/sites/www.hathitrust.org/files/HT_2016_member-meeting_BUDGET%20SLIDES.pdf</w:t>
        </w:r>
      </w:hyperlink>
      <w:r w:rsidR="00547646" w:rsidRPr="00CC32B8">
        <w:rPr>
          <w:rFonts w:ascii="Avenir Next" w:hAnsi="Avenir Next"/>
        </w:rPr>
        <w:t xml:space="preserve">, and </w:t>
      </w:r>
      <w:r w:rsidR="00EF56A2" w:rsidRPr="00CC32B8">
        <w:rPr>
          <w:rFonts w:ascii="Avenir Next" w:hAnsi="Avenir Next"/>
        </w:rPr>
        <w:t>“</w:t>
      </w:r>
      <w:r w:rsidR="00EF56A2" w:rsidRPr="00CC32B8">
        <w:rPr>
          <w:rFonts w:ascii="Avenir Next" w:eastAsia="Times New Roman" w:hAnsi="Avenir Next"/>
        </w:rPr>
        <w:t>A Report from the 2017 DuraSpace Member Summit,</w:t>
      </w:r>
      <w:r w:rsidR="00547646" w:rsidRPr="00CC32B8">
        <w:rPr>
          <w:rFonts w:ascii="Avenir Next" w:eastAsia="Times New Roman" w:hAnsi="Avenir Next"/>
        </w:rPr>
        <w:t xml:space="preserve">” </w:t>
      </w:r>
      <w:hyperlink r:id="rId14" w:history="1">
        <w:r w:rsidR="00EF56A2" w:rsidRPr="00CC32B8">
          <w:rPr>
            <w:rStyle w:val="Hyperlink"/>
            <w:rFonts w:ascii="Avenir Next" w:eastAsia="Times New Roman" w:hAnsi="Avenir Next"/>
          </w:rPr>
          <w:t>http://duraspace.org/node/3153</w:t>
        </w:r>
      </w:hyperlink>
      <w:r w:rsidR="00EF56A2" w:rsidRPr="00CC32B8">
        <w:rPr>
          <w:rFonts w:ascii="Avenir Next" w:eastAsia="Times New Roman" w:hAnsi="Avenir Next"/>
        </w:rPr>
        <w:t xml:space="preserve"> extrapola</w:t>
      </w:r>
      <w:r w:rsidR="00547646" w:rsidRPr="00CC32B8">
        <w:rPr>
          <w:rFonts w:ascii="Avenir Next" w:eastAsia="Times New Roman" w:hAnsi="Avenir Next"/>
        </w:rPr>
        <w:t>ted</w:t>
      </w:r>
      <w:r w:rsidR="00EF56A2" w:rsidRPr="00CC32B8">
        <w:rPr>
          <w:rFonts w:ascii="Avenir Next" w:eastAsia="Times New Roman" w:hAnsi="Avenir Next"/>
        </w:rPr>
        <w:t xml:space="preserve"> from </w:t>
      </w:r>
      <w:r w:rsidR="00547646" w:rsidRPr="00CC32B8">
        <w:rPr>
          <w:rFonts w:ascii="Avenir Next" w:eastAsia="Times New Roman" w:hAnsi="Avenir Next"/>
        </w:rPr>
        <w:t>“revenue grew 14% or $250,000.”</w:t>
      </w:r>
    </w:p>
  </w:endnote>
  <w:endnote w:id="13">
    <w:p w14:paraId="1D14365A" w14:textId="6F0C5CB8" w:rsidR="00CC32B8" w:rsidRPr="00EF323F" w:rsidRDefault="00CC32B8" w:rsidP="00EF323F">
      <w:pPr>
        <w:pStyle w:val="Heading1"/>
        <w:spacing w:before="0" w:after="300"/>
        <w:rPr>
          <w:rFonts w:ascii="Avenir Next" w:eastAsia="Times New Roman" w:hAnsi="Avenir Next" w:cs="Times New Roman"/>
          <w:color w:val="33302E"/>
          <w:sz w:val="24"/>
          <w:szCs w:val="24"/>
        </w:rPr>
      </w:pPr>
      <w:r w:rsidRPr="00773EA5">
        <w:rPr>
          <w:rStyle w:val="EndnoteReference"/>
          <w:rFonts w:ascii="Avenir Next" w:hAnsi="Avenir Next"/>
          <w:color w:val="000000" w:themeColor="text1"/>
          <w:sz w:val="24"/>
          <w:szCs w:val="24"/>
        </w:rPr>
        <w:endnoteRef/>
      </w:r>
      <w:r w:rsidRPr="00773EA5">
        <w:rPr>
          <w:rFonts w:ascii="Avenir Next" w:hAnsi="Avenir Next"/>
          <w:color w:val="000000" w:themeColor="text1"/>
          <w:sz w:val="24"/>
          <w:szCs w:val="24"/>
        </w:rPr>
        <w:t xml:space="preserve"> David Bond, </w:t>
      </w:r>
      <w:r w:rsidRPr="00CC32B8">
        <w:rPr>
          <w:rFonts w:ascii="Avenir Next" w:hAnsi="Avenir Next"/>
          <w:sz w:val="24"/>
          <w:szCs w:val="24"/>
        </w:rPr>
        <w:t>“</w:t>
      </w:r>
      <w:r>
        <w:rPr>
          <w:rStyle w:val="article-classifiergap"/>
          <w:rFonts w:ascii="Avenir Next" w:eastAsia="Times New Roman" w:hAnsi="Avenir Next"/>
          <w:bCs/>
          <w:color w:val="33302E"/>
          <w:sz w:val="24"/>
          <w:szCs w:val="24"/>
        </w:rPr>
        <w:t>Relx Buys Bepress to Boost Academic P</w:t>
      </w:r>
      <w:r w:rsidRPr="00CC32B8">
        <w:rPr>
          <w:rStyle w:val="article-classifiergap"/>
          <w:rFonts w:ascii="Avenir Next" w:eastAsia="Times New Roman" w:hAnsi="Avenir Next"/>
          <w:bCs/>
          <w:color w:val="33302E"/>
          <w:sz w:val="24"/>
          <w:szCs w:val="24"/>
        </w:rPr>
        <w:t>ublishing,</w:t>
      </w:r>
      <w:r>
        <w:rPr>
          <w:rStyle w:val="article-classifiergap"/>
          <w:rFonts w:ascii="Avenir Next" w:eastAsia="Times New Roman" w:hAnsi="Avenir Next"/>
          <w:bCs/>
          <w:color w:val="33302E"/>
          <w:sz w:val="24"/>
          <w:szCs w:val="24"/>
        </w:rPr>
        <w:t>”</w:t>
      </w:r>
      <w:r w:rsidRPr="00CC32B8">
        <w:rPr>
          <w:rStyle w:val="article-classifiergap"/>
          <w:rFonts w:ascii="Avenir Next" w:eastAsia="Times New Roman" w:hAnsi="Avenir Next"/>
          <w:bCs/>
          <w:color w:val="33302E"/>
          <w:sz w:val="24"/>
          <w:szCs w:val="24"/>
        </w:rPr>
        <w:t xml:space="preserve"> </w:t>
      </w:r>
      <w:r w:rsidRPr="00CC32B8">
        <w:rPr>
          <w:rStyle w:val="article-classifiergap"/>
          <w:rFonts w:ascii="Avenir Next" w:eastAsia="Times New Roman" w:hAnsi="Avenir Next"/>
          <w:bCs/>
          <w:i/>
          <w:color w:val="33302E"/>
          <w:sz w:val="24"/>
          <w:szCs w:val="24"/>
        </w:rPr>
        <w:t>Financial Times</w:t>
      </w:r>
      <w:r w:rsidRPr="00CC32B8">
        <w:rPr>
          <w:rStyle w:val="article-classifiergap"/>
          <w:rFonts w:ascii="Avenir Next" w:eastAsia="Times New Roman" w:hAnsi="Avenir Next"/>
          <w:bCs/>
          <w:color w:val="33302E"/>
          <w:sz w:val="24"/>
          <w:szCs w:val="24"/>
        </w:rPr>
        <w:t xml:space="preserve"> August 2, 2017, </w:t>
      </w:r>
      <w:hyperlink r:id="rId15" w:history="1">
        <w:r w:rsidRPr="00CC32B8">
          <w:rPr>
            <w:rStyle w:val="Hyperlink"/>
            <w:rFonts w:ascii="Avenir Next" w:eastAsia="Times New Roman" w:hAnsi="Avenir Next"/>
            <w:bCs/>
            <w:sz w:val="24"/>
            <w:szCs w:val="24"/>
          </w:rPr>
          <w:t>https://www.ft.com/content/c6f6c594-7787-11e7-a3e8-60495fe6ca71</w:t>
        </w:r>
      </w:hyperlink>
      <w:r w:rsidRPr="00CC32B8">
        <w:rPr>
          <w:rStyle w:val="article-classifiergap"/>
          <w:rFonts w:ascii="Avenir Next" w:eastAsia="Times New Roman" w:hAnsi="Avenir Next"/>
          <w:bCs/>
          <w:color w:val="33302E"/>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BE77" w14:textId="77777777" w:rsidR="001C669B" w:rsidRDefault="001C669B" w:rsidP="00807F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2AE84" w14:textId="77777777" w:rsidR="001C669B" w:rsidRDefault="001C66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82609" w14:textId="77777777" w:rsidR="001C669B" w:rsidRPr="00214799" w:rsidRDefault="001C669B" w:rsidP="00807FF1">
    <w:pPr>
      <w:pStyle w:val="Footer"/>
      <w:framePr w:wrap="none" w:vAnchor="text" w:hAnchor="margin" w:xAlign="center" w:y="1"/>
      <w:rPr>
        <w:rStyle w:val="PageNumber"/>
        <w:rFonts w:ascii="Avenir Next" w:hAnsi="Avenir Next"/>
      </w:rPr>
    </w:pPr>
    <w:r w:rsidRPr="00214799">
      <w:rPr>
        <w:rStyle w:val="PageNumber"/>
        <w:rFonts w:ascii="Avenir Next" w:hAnsi="Avenir Next"/>
      </w:rPr>
      <w:fldChar w:fldCharType="begin"/>
    </w:r>
    <w:r w:rsidRPr="00214799">
      <w:rPr>
        <w:rStyle w:val="PageNumber"/>
        <w:rFonts w:ascii="Avenir Next" w:hAnsi="Avenir Next"/>
      </w:rPr>
      <w:instrText xml:space="preserve">PAGE  </w:instrText>
    </w:r>
    <w:r w:rsidRPr="00214799">
      <w:rPr>
        <w:rStyle w:val="PageNumber"/>
        <w:rFonts w:ascii="Avenir Next" w:hAnsi="Avenir Next"/>
      </w:rPr>
      <w:fldChar w:fldCharType="separate"/>
    </w:r>
    <w:r w:rsidR="001D5203">
      <w:rPr>
        <w:rStyle w:val="PageNumber"/>
        <w:rFonts w:ascii="Avenir Next" w:hAnsi="Avenir Next"/>
        <w:noProof/>
      </w:rPr>
      <w:t>1</w:t>
    </w:r>
    <w:r w:rsidRPr="00214799">
      <w:rPr>
        <w:rStyle w:val="PageNumber"/>
        <w:rFonts w:ascii="Avenir Next" w:hAnsi="Avenir Next"/>
      </w:rPr>
      <w:fldChar w:fldCharType="end"/>
    </w:r>
  </w:p>
  <w:p w14:paraId="57D10B37" w14:textId="77777777" w:rsidR="001C669B" w:rsidRPr="00214799" w:rsidRDefault="001C669B">
    <w:pPr>
      <w:pStyle w:val="Footer"/>
      <w:rPr>
        <w:rFonts w:ascii="Avenir Next" w:hAnsi="Avenir Nex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899D1" w14:textId="77777777" w:rsidR="001D5203" w:rsidRDefault="001D5203" w:rsidP="00B161D3">
      <w:r>
        <w:separator/>
      </w:r>
    </w:p>
  </w:footnote>
  <w:footnote w:type="continuationSeparator" w:id="0">
    <w:p w14:paraId="531C7AA5" w14:textId="77777777" w:rsidR="001D5203" w:rsidRDefault="001D5203" w:rsidP="00B161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05D35"/>
    <w:multiLevelType w:val="hybridMultilevel"/>
    <w:tmpl w:val="6204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B0988"/>
    <w:multiLevelType w:val="hybridMultilevel"/>
    <w:tmpl w:val="20D85B30"/>
    <w:lvl w:ilvl="0" w:tplc="9BD2414A">
      <w:start w:val="1"/>
      <w:numFmt w:val="decimal"/>
      <w:lvlText w:val="%1."/>
      <w:lvlJc w:val="left"/>
      <w:pPr>
        <w:ind w:left="420" w:hanging="360"/>
      </w:pPr>
      <w:rPr>
        <w:rFonts w:ascii="Avenir Next" w:eastAsiaTheme="minorHAnsi" w:hAnsi="Avenir Next"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B4C1B64"/>
    <w:multiLevelType w:val="hybridMultilevel"/>
    <w:tmpl w:val="B1FA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E2145"/>
    <w:multiLevelType w:val="hybridMultilevel"/>
    <w:tmpl w:val="05A2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049C2"/>
    <w:multiLevelType w:val="hybridMultilevel"/>
    <w:tmpl w:val="BD72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D3"/>
    <w:rsid w:val="00053384"/>
    <w:rsid w:val="0008454D"/>
    <w:rsid w:val="000846F0"/>
    <w:rsid w:val="00092AE2"/>
    <w:rsid w:val="000E1042"/>
    <w:rsid w:val="000F14F1"/>
    <w:rsid w:val="00100FC0"/>
    <w:rsid w:val="00114255"/>
    <w:rsid w:val="00124260"/>
    <w:rsid w:val="001369F7"/>
    <w:rsid w:val="00153242"/>
    <w:rsid w:val="0018138C"/>
    <w:rsid w:val="001A6F3B"/>
    <w:rsid w:val="001C38DC"/>
    <w:rsid w:val="001C669B"/>
    <w:rsid w:val="001D5203"/>
    <w:rsid w:val="0020736B"/>
    <w:rsid w:val="00214799"/>
    <w:rsid w:val="00225BCF"/>
    <w:rsid w:val="0023731D"/>
    <w:rsid w:val="00242305"/>
    <w:rsid w:val="00275AE4"/>
    <w:rsid w:val="002C4D8A"/>
    <w:rsid w:val="003277E6"/>
    <w:rsid w:val="00345A0F"/>
    <w:rsid w:val="00345C28"/>
    <w:rsid w:val="00365230"/>
    <w:rsid w:val="0037247F"/>
    <w:rsid w:val="003F69CC"/>
    <w:rsid w:val="00400C1C"/>
    <w:rsid w:val="004278B2"/>
    <w:rsid w:val="004405D0"/>
    <w:rsid w:val="00495F37"/>
    <w:rsid w:val="004D7CC8"/>
    <w:rsid w:val="00543E15"/>
    <w:rsid w:val="00547646"/>
    <w:rsid w:val="005B01AD"/>
    <w:rsid w:val="006025EF"/>
    <w:rsid w:val="00606BBD"/>
    <w:rsid w:val="00623A4F"/>
    <w:rsid w:val="00637856"/>
    <w:rsid w:val="00643274"/>
    <w:rsid w:val="00653EAA"/>
    <w:rsid w:val="006763C2"/>
    <w:rsid w:val="00695B25"/>
    <w:rsid w:val="006C6837"/>
    <w:rsid w:val="00744DBB"/>
    <w:rsid w:val="00773EA5"/>
    <w:rsid w:val="0079697F"/>
    <w:rsid w:val="007E361C"/>
    <w:rsid w:val="007E6C3E"/>
    <w:rsid w:val="00822BDC"/>
    <w:rsid w:val="00826D95"/>
    <w:rsid w:val="00861C5E"/>
    <w:rsid w:val="00866731"/>
    <w:rsid w:val="0087685F"/>
    <w:rsid w:val="00883F5A"/>
    <w:rsid w:val="00891A51"/>
    <w:rsid w:val="008B579C"/>
    <w:rsid w:val="008B5A39"/>
    <w:rsid w:val="008D48D2"/>
    <w:rsid w:val="00944279"/>
    <w:rsid w:val="009A3617"/>
    <w:rsid w:val="00A16A56"/>
    <w:rsid w:val="00A50511"/>
    <w:rsid w:val="00A51977"/>
    <w:rsid w:val="00AD5A8A"/>
    <w:rsid w:val="00B0495B"/>
    <w:rsid w:val="00B161D3"/>
    <w:rsid w:val="00BD74D4"/>
    <w:rsid w:val="00BF72A8"/>
    <w:rsid w:val="00C24913"/>
    <w:rsid w:val="00C251D3"/>
    <w:rsid w:val="00C356EC"/>
    <w:rsid w:val="00C950AF"/>
    <w:rsid w:val="00CC32B8"/>
    <w:rsid w:val="00CE4978"/>
    <w:rsid w:val="00CF733F"/>
    <w:rsid w:val="00D2266D"/>
    <w:rsid w:val="00D24973"/>
    <w:rsid w:val="00D77020"/>
    <w:rsid w:val="00DC4A78"/>
    <w:rsid w:val="00E05DC0"/>
    <w:rsid w:val="00E257DB"/>
    <w:rsid w:val="00E33CDC"/>
    <w:rsid w:val="00E34099"/>
    <w:rsid w:val="00E44AEF"/>
    <w:rsid w:val="00E508C1"/>
    <w:rsid w:val="00E65A96"/>
    <w:rsid w:val="00E977F9"/>
    <w:rsid w:val="00EA31F8"/>
    <w:rsid w:val="00EE46D4"/>
    <w:rsid w:val="00EF323F"/>
    <w:rsid w:val="00EF56A2"/>
    <w:rsid w:val="00EF56BA"/>
    <w:rsid w:val="00F616FD"/>
    <w:rsid w:val="00F76D76"/>
    <w:rsid w:val="00F822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B1033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74D4"/>
    <w:rPr>
      <w:rFonts w:ascii="Times New Roman" w:hAnsi="Times New Roman" w:cs="Times New Roman"/>
    </w:rPr>
  </w:style>
  <w:style w:type="paragraph" w:styleId="Heading1">
    <w:name w:val="heading 1"/>
    <w:basedOn w:val="Normal"/>
    <w:next w:val="Normal"/>
    <w:link w:val="Heading1Char"/>
    <w:uiPriority w:val="9"/>
    <w:qFormat/>
    <w:rsid w:val="00CC32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3E1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1D3"/>
    <w:rPr>
      <w:color w:val="0563C1" w:themeColor="hyperlink"/>
      <w:u w:val="single"/>
    </w:rPr>
  </w:style>
  <w:style w:type="paragraph" w:styleId="NormalWeb">
    <w:name w:val="Normal (Web)"/>
    <w:basedOn w:val="Normal"/>
    <w:uiPriority w:val="99"/>
    <w:unhideWhenUsed/>
    <w:rsid w:val="00B161D3"/>
    <w:pPr>
      <w:spacing w:before="100" w:beforeAutospacing="1" w:after="100" w:afterAutospacing="1"/>
    </w:pPr>
  </w:style>
  <w:style w:type="paragraph" w:styleId="EndnoteText">
    <w:name w:val="endnote text"/>
    <w:basedOn w:val="Normal"/>
    <w:link w:val="EndnoteTextChar"/>
    <w:uiPriority w:val="99"/>
    <w:unhideWhenUsed/>
    <w:rsid w:val="00B161D3"/>
    <w:rPr>
      <w:rFonts w:asciiTheme="minorHAnsi" w:hAnsiTheme="minorHAnsi" w:cstheme="minorBidi"/>
    </w:rPr>
  </w:style>
  <w:style w:type="character" w:customStyle="1" w:styleId="EndnoteTextChar">
    <w:name w:val="Endnote Text Char"/>
    <w:basedOn w:val="DefaultParagraphFont"/>
    <w:link w:val="EndnoteText"/>
    <w:uiPriority w:val="99"/>
    <w:rsid w:val="00B161D3"/>
  </w:style>
  <w:style w:type="character" w:styleId="EndnoteReference">
    <w:name w:val="endnote reference"/>
    <w:basedOn w:val="DefaultParagraphFont"/>
    <w:uiPriority w:val="99"/>
    <w:unhideWhenUsed/>
    <w:rsid w:val="00B161D3"/>
    <w:rPr>
      <w:vertAlign w:val="superscript"/>
    </w:rPr>
  </w:style>
  <w:style w:type="character" w:customStyle="1" w:styleId="apple-converted-space">
    <w:name w:val="apple-converted-space"/>
    <w:basedOn w:val="DefaultParagraphFont"/>
    <w:rsid w:val="00B161D3"/>
  </w:style>
  <w:style w:type="character" w:customStyle="1" w:styleId="Heading2Char">
    <w:name w:val="Heading 2 Char"/>
    <w:basedOn w:val="DefaultParagraphFont"/>
    <w:link w:val="Heading2"/>
    <w:uiPriority w:val="9"/>
    <w:rsid w:val="00543E15"/>
    <w:rPr>
      <w:rFonts w:ascii="Times New Roman" w:hAnsi="Times New Roman" w:cs="Times New Roman"/>
      <w:b/>
      <w:bCs/>
      <w:sz w:val="36"/>
      <w:szCs w:val="36"/>
    </w:rPr>
  </w:style>
  <w:style w:type="character" w:styleId="FollowedHyperlink">
    <w:name w:val="FollowedHyperlink"/>
    <w:basedOn w:val="DefaultParagraphFont"/>
    <w:uiPriority w:val="99"/>
    <w:semiHidden/>
    <w:unhideWhenUsed/>
    <w:rsid w:val="000E1042"/>
    <w:rPr>
      <w:color w:val="954F72" w:themeColor="followedHyperlink"/>
      <w:u w:val="single"/>
    </w:rPr>
  </w:style>
  <w:style w:type="paragraph" w:styleId="ListParagraph">
    <w:name w:val="List Paragraph"/>
    <w:basedOn w:val="Normal"/>
    <w:uiPriority w:val="34"/>
    <w:qFormat/>
    <w:rsid w:val="00114255"/>
    <w:pPr>
      <w:ind w:left="720"/>
      <w:contextualSpacing/>
    </w:pPr>
    <w:rPr>
      <w:rFonts w:asciiTheme="minorHAnsi" w:hAnsiTheme="minorHAnsi" w:cstheme="minorBidi"/>
    </w:rPr>
  </w:style>
  <w:style w:type="paragraph" w:styleId="PlainText">
    <w:name w:val="Plain Text"/>
    <w:basedOn w:val="Normal"/>
    <w:link w:val="PlainTextChar"/>
    <w:uiPriority w:val="99"/>
    <w:semiHidden/>
    <w:unhideWhenUsed/>
    <w:rsid w:val="006763C2"/>
    <w:rPr>
      <w:rFonts w:ascii="Avenir Next" w:eastAsia="Times New Roman" w:hAnsi="Avenir Next" w:cstheme="minorBidi"/>
      <w:szCs w:val="21"/>
    </w:rPr>
  </w:style>
  <w:style w:type="character" w:customStyle="1" w:styleId="PlainTextChar">
    <w:name w:val="Plain Text Char"/>
    <w:basedOn w:val="DefaultParagraphFont"/>
    <w:link w:val="PlainText"/>
    <w:uiPriority w:val="99"/>
    <w:semiHidden/>
    <w:rsid w:val="006763C2"/>
    <w:rPr>
      <w:rFonts w:ascii="Avenir Next" w:eastAsia="Times New Roman" w:hAnsi="Avenir Next"/>
      <w:szCs w:val="21"/>
    </w:rPr>
  </w:style>
  <w:style w:type="character" w:customStyle="1" w:styleId="Heading1Char">
    <w:name w:val="Heading 1 Char"/>
    <w:basedOn w:val="DefaultParagraphFont"/>
    <w:link w:val="Heading1"/>
    <w:uiPriority w:val="9"/>
    <w:rsid w:val="00CC32B8"/>
    <w:rPr>
      <w:rFonts w:asciiTheme="majorHAnsi" w:eastAsiaTheme="majorEastAsia" w:hAnsiTheme="majorHAnsi" w:cstheme="majorBidi"/>
      <w:color w:val="2F5496" w:themeColor="accent1" w:themeShade="BF"/>
      <w:sz w:val="32"/>
      <w:szCs w:val="32"/>
    </w:rPr>
  </w:style>
  <w:style w:type="character" w:customStyle="1" w:styleId="article-classifiergap">
    <w:name w:val="article-classifier__gap"/>
    <w:basedOn w:val="DefaultParagraphFont"/>
    <w:rsid w:val="00CC32B8"/>
  </w:style>
  <w:style w:type="paragraph" w:styleId="Footer">
    <w:name w:val="footer"/>
    <w:basedOn w:val="Normal"/>
    <w:link w:val="FooterChar"/>
    <w:uiPriority w:val="99"/>
    <w:unhideWhenUsed/>
    <w:rsid w:val="001C669B"/>
    <w:pPr>
      <w:tabs>
        <w:tab w:val="center" w:pos="4680"/>
        <w:tab w:val="right" w:pos="9360"/>
      </w:tabs>
    </w:pPr>
  </w:style>
  <w:style w:type="character" w:customStyle="1" w:styleId="FooterChar">
    <w:name w:val="Footer Char"/>
    <w:basedOn w:val="DefaultParagraphFont"/>
    <w:link w:val="Footer"/>
    <w:uiPriority w:val="99"/>
    <w:rsid w:val="001C669B"/>
    <w:rPr>
      <w:rFonts w:ascii="Times New Roman" w:hAnsi="Times New Roman" w:cs="Times New Roman"/>
    </w:rPr>
  </w:style>
  <w:style w:type="character" w:styleId="PageNumber">
    <w:name w:val="page number"/>
    <w:basedOn w:val="DefaultParagraphFont"/>
    <w:uiPriority w:val="99"/>
    <w:semiHidden/>
    <w:unhideWhenUsed/>
    <w:rsid w:val="001C669B"/>
  </w:style>
  <w:style w:type="paragraph" w:styleId="Header">
    <w:name w:val="header"/>
    <w:basedOn w:val="Normal"/>
    <w:link w:val="HeaderChar"/>
    <w:uiPriority w:val="99"/>
    <w:unhideWhenUsed/>
    <w:rsid w:val="00214799"/>
    <w:pPr>
      <w:tabs>
        <w:tab w:val="center" w:pos="4680"/>
        <w:tab w:val="right" w:pos="9360"/>
      </w:tabs>
    </w:pPr>
  </w:style>
  <w:style w:type="character" w:customStyle="1" w:styleId="HeaderChar">
    <w:name w:val="Header Char"/>
    <w:basedOn w:val="DefaultParagraphFont"/>
    <w:link w:val="Header"/>
    <w:uiPriority w:val="99"/>
    <w:rsid w:val="002147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652">
      <w:bodyDiv w:val="1"/>
      <w:marLeft w:val="0"/>
      <w:marRight w:val="0"/>
      <w:marTop w:val="0"/>
      <w:marBottom w:val="0"/>
      <w:divBdr>
        <w:top w:val="none" w:sz="0" w:space="0" w:color="auto"/>
        <w:left w:val="none" w:sz="0" w:space="0" w:color="auto"/>
        <w:bottom w:val="none" w:sz="0" w:space="0" w:color="auto"/>
        <w:right w:val="none" w:sz="0" w:space="0" w:color="auto"/>
      </w:divBdr>
    </w:div>
    <w:div w:id="110321684">
      <w:bodyDiv w:val="1"/>
      <w:marLeft w:val="0"/>
      <w:marRight w:val="0"/>
      <w:marTop w:val="0"/>
      <w:marBottom w:val="0"/>
      <w:divBdr>
        <w:top w:val="none" w:sz="0" w:space="0" w:color="auto"/>
        <w:left w:val="none" w:sz="0" w:space="0" w:color="auto"/>
        <w:bottom w:val="none" w:sz="0" w:space="0" w:color="auto"/>
        <w:right w:val="none" w:sz="0" w:space="0" w:color="auto"/>
      </w:divBdr>
    </w:div>
    <w:div w:id="271476250">
      <w:bodyDiv w:val="1"/>
      <w:marLeft w:val="0"/>
      <w:marRight w:val="0"/>
      <w:marTop w:val="0"/>
      <w:marBottom w:val="0"/>
      <w:divBdr>
        <w:top w:val="none" w:sz="0" w:space="0" w:color="auto"/>
        <w:left w:val="none" w:sz="0" w:space="0" w:color="auto"/>
        <w:bottom w:val="none" w:sz="0" w:space="0" w:color="auto"/>
        <w:right w:val="none" w:sz="0" w:space="0" w:color="auto"/>
      </w:divBdr>
    </w:div>
    <w:div w:id="431898529">
      <w:bodyDiv w:val="1"/>
      <w:marLeft w:val="0"/>
      <w:marRight w:val="0"/>
      <w:marTop w:val="0"/>
      <w:marBottom w:val="0"/>
      <w:divBdr>
        <w:top w:val="none" w:sz="0" w:space="0" w:color="auto"/>
        <w:left w:val="none" w:sz="0" w:space="0" w:color="auto"/>
        <w:bottom w:val="none" w:sz="0" w:space="0" w:color="auto"/>
        <w:right w:val="none" w:sz="0" w:space="0" w:color="auto"/>
      </w:divBdr>
      <w:divsChild>
        <w:div w:id="1583293086">
          <w:marLeft w:val="0"/>
          <w:marRight w:val="0"/>
          <w:marTop w:val="0"/>
          <w:marBottom w:val="0"/>
          <w:divBdr>
            <w:top w:val="none" w:sz="0" w:space="0" w:color="auto"/>
            <w:left w:val="none" w:sz="0" w:space="0" w:color="auto"/>
            <w:bottom w:val="none" w:sz="0" w:space="0" w:color="auto"/>
            <w:right w:val="none" w:sz="0" w:space="0" w:color="auto"/>
          </w:divBdr>
          <w:divsChild>
            <w:div w:id="1482230637">
              <w:marLeft w:val="0"/>
              <w:marRight w:val="0"/>
              <w:marTop w:val="0"/>
              <w:marBottom w:val="0"/>
              <w:divBdr>
                <w:top w:val="none" w:sz="0" w:space="0" w:color="auto"/>
                <w:left w:val="none" w:sz="0" w:space="0" w:color="auto"/>
                <w:bottom w:val="none" w:sz="0" w:space="0" w:color="auto"/>
                <w:right w:val="none" w:sz="0" w:space="0" w:color="auto"/>
              </w:divBdr>
              <w:divsChild>
                <w:div w:id="2138642176">
                  <w:marLeft w:val="0"/>
                  <w:marRight w:val="0"/>
                  <w:marTop w:val="0"/>
                  <w:marBottom w:val="0"/>
                  <w:divBdr>
                    <w:top w:val="none" w:sz="0" w:space="0" w:color="auto"/>
                    <w:left w:val="none" w:sz="0" w:space="0" w:color="auto"/>
                    <w:bottom w:val="none" w:sz="0" w:space="0" w:color="auto"/>
                    <w:right w:val="none" w:sz="0" w:space="0" w:color="auto"/>
                  </w:divBdr>
                  <w:divsChild>
                    <w:div w:id="145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0784">
      <w:bodyDiv w:val="1"/>
      <w:marLeft w:val="0"/>
      <w:marRight w:val="0"/>
      <w:marTop w:val="0"/>
      <w:marBottom w:val="0"/>
      <w:divBdr>
        <w:top w:val="none" w:sz="0" w:space="0" w:color="auto"/>
        <w:left w:val="none" w:sz="0" w:space="0" w:color="auto"/>
        <w:bottom w:val="none" w:sz="0" w:space="0" w:color="auto"/>
        <w:right w:val="none" w:sz="0" w:space="0" w:color="auto"/>
      </w:divBdr>
    </w:div>
    <w:div w:id="546841634">
      <w:bodyDiv w:val="1"/>
      <w:marLeft w:val="0"/>
      <w:marRight w:val="0"/>
      <w:marTop w:val="0"/>
      <w:marBottom w:val="0"/>
      <w:divBdr>
        <w:top w:val="none" w:sz="0" w:space="0" w:color="auto"/>
        <w:left w:val="none" w:sz="0" w:space="0" w:color="auto"/>
        <w:bottom w:val="none" w:sz="0" w:space="0" w:color="auto"/>
        <w:right w:val="none" w:sz="0" w:space="0" w:color="auto"/>
      </w:divBdr>
    </w:div>
    <w:div w:id="553541799">
      <w:bodyDiv w:val="1"/>
      <w:marLeft w:val="0"/>
      <w:marRight w:val="0"/>
      <w:marTop w:val="0"/>
      <w:marBottom w:val="0"/>
      <w:divBdr>
        <w:top w:val="none" w:sz="0" w:space="0" w:color="auto"/>
        <w:left w:val="none" w:sz="0" w:space="0" w:color="auto"/>
        <w:bottom w:val="none" w:sz="0" w:space="0" w:color="auto"/>
        <w:right w:val="none" w:sz="0" w:space="0" w:color="auto"/>
      </w:divBdr>
    </w:div>
    <w:div w:id="730930700">
      <w:bodyDiv w:val="1"/>
      <w:marLeft w:val="0"/>
      <w:marRight w:val="0"/>
      <w:marTop w:val="0"/>
      <w:marBottom w:val="0"/>
      <w:divBdr>
        <w:top w:val="none" w:sz="0" w:space="0" w:color="auto"/>
        <w:left w:val="none" w:sz="0" w:space="0" w:color="auto"/>
        <w:bottom w:val="none" w:sz="0" w:space="0" w:color="auto"/>
        <w:right w:val="none" w:sz="0" w:space="0" w:color="auto"/>
      </w:divBdr>
    </w:div>
    <w:div w:id="796487957">
      <w:bodyDiv w:val="1"/>
      <w:marLeft w:val="0"/>
      <w:marRight w:val="0"/>
      <w:marTop w:val="0"/>
      <w:marBottom w:val="0"/>
      <w:divBdr>
        <w:top w:val="none" w:sz="0" w:space="0" w:color="auto"/>
        <w:left w:val="none" w:sz="0" w:space="0" w:color="auto"/>
        <w:bottom w:val="none" w:sz="0" w:space="0" w:color="auto"/>
        <w:right w:val="none" w:sz="0" w:space="0" w:color="auto"/>
      </w:divBdr>
    </w:div>
    <w:div w:id="796726407">
      <w:bodyDiv w:val="1"/>
      <w:marLeft w:val="0"/>
      <w:marRight w:val="0"/>
      <w:marTop w:val="0"/>
      <w:marBottom w:val="0"/>
      <w:divBdr>
        <w:top w:val="none" w:sz="0" w:space="0" w:color="auto"/>
        <w:left w:val="none" w:sz="0" w:space="0" w:color="auto"/>
        <w:bottom w:val="none" w:sz="0" w:space="0" w:color="auto"/>
        <w:right w:val="none" w:sz="0" w:space="0" w:color="auto"/>
      </w:divBdr>
    </w:div>
    <w:div w:id="835538879">
      <w:bodyDiv w:val="1"/>
      <w:marLeft w:val="0"/>
      <w:marRight w:val="0"/>
      <w:marTop w:val="0"/>
      <w:marBottom w:val="0"/>
      <w:divBdr>
        <w:top w:val="none" w:sz="0" w:space="0" w:color="auto"/>
        <w:left w:val="none" w:sz="0" w:space="0" w:color="auto"/>
        <w:bottom w:val="none" w:sz="0" w:space="0" w:color="auto"/>
        <w:right w:val="none" w:sz="0" w:space="0" w:color="auto"/>
      </w:divBdr>
    </w:div>
    <w:div w:id="1022783385">
      <w:bodyDiv w:val="1"/>
      <w:marLeft w:val="0"/>
      <w:marRight w:val="0"/>
      <w:marTop w:val="0"/>
      <w:marBottom w:val="0"/>
      <w:divBdr>
        <w:top w:val="none" w:sz="0" w:space="0" w:color="auto"/>
        <w:left w:val="none" w:sz="0" w:space="0" w:color="auto"/>
        <w:bottom w:val="none" w:sz="0" w:space="0" w:color="auto"/>
        <w:right w:val="none" w:sz="0" w:space="0" w:color="auto"/>
      </w:divBdr>
    </w:div>
    <w:div w:id="1273396569">
      <w:bodyDiv w:val="1"/>
      <w:marLeft w:val="0"/>
      <w:marRight w:val="0"/>
      <w:marTop w:val="0"/>
      <w:marBottom w:val="0"/>
      <w:divBdr>
        <w:top w:val="none" w:sz="0" w:space="0" w:color="auto"/>
        <w:left w:val="none" w:sz="0" w:space="0" w:color="auto"/>
        <w:bottom w:val="none" w:sz="0" w:space="0" w:color="auto"/>
        <w:right w:val="none" w:sz="0" w:space="0" w:color="auto"/>
      </w:divBdr>
    </w:div>
    <w:div w:id="1686053624">
      <w:bodyDiv w:val="1"/>
      <w:marLeft w:val="0"/>
      <w:marRight w:val="0"/>
      <w:marTop w:val="0"/>
      <w:marBottom w:val="0"/>
      <w:divBdr>
        <w:top w:val="none" w:sz="0" w:space="0" w:color="auto"/>
        <w:left w:val="none" w:sz="0" w:space="0" w:color="auto"/>
        <w:bottom w:val="none" w:sz="0" w:space="0" w:color="auto"/>
        <w:right w:val="none" w:sz="0" w:space="0" w:color="auto"/>
      </w:divBdr>
    </w:div>
    <w:div w:id="1686399849">
      <w:bodyDiv w:val="1"/>
      <w:marLeft w:val="0"/>
      <w:marRight w:val="0"/>
      <w:marTop w:val="0"/>
      <w:marBottom w:val="0"/>
      <w:divBdr>
        <w:top w:val="none" w:sz="0" w:space="0" w:color="auto"/>
        <w:left w:val="none" w:sz="0" w:space="0" w:color="auto"/>
        <w:bottom w:val="none" w:sz="0" w:space="0" w:color="auto"/>
        <w:right w:val="none" w:sz="0" w:space="0" w:color="auto"/>
      </w:divBdr>
    </w:div>
    <w:div w:id="1840535574">
      <w:bodyDiv w:val="1"/>
      <w:marLeft w:val="0"/>
      <w:marRight w:val="0"/>
      <w:marTop w:val="0"/>
      <w:marBottom w:val="0"/>
      <w:divBdr>
        <w:top w:val="none" w:sz="0" w:space="0" w:color="auto"/>
        <w:left w:val="none" w:sz="0" w:space="0" w:color="auto"/>
        <w:bottom w:val="none" w:sz="0" w:space="0" w:color="auto"/>
        <w:right w:val="none" w:sz="0" w:space="0" w:color="auto"/>
      </w:divBdr>
    </w:div>
    <w:div w:id="1848716270">
      <w:bodyDiv w:val="1"/>
      <w:marLeft w:val="0"/>
      <w:marRight w:val="0"/>
      <w:marTop w:val="0"/>
      <w:marBottom w:val="0"/>
      <w:divBdr>
        <w:top w:val="none" w:sz="0" w:space="0" w:color="auto"/>
        <w:left w:val="none" w:sz="0" w:space="0" w:color="auto"/>
        <w:bottom w:val="none" w:sz="0" w:space="0" w:color="auto"/>
        <w:right w:val="none" w:sz="0" w:space="0" w:color="auto"/>
      </w:divBdr>
    </w:div>
    <w:div w:id="1868719237">
      <w:bodyDiv w:val="1"/>
      <w:marLeft w:val="0"/>
      <w:marRight w:val="0"/>
      <w:marTop w:val="0"/>
      <w:marBottom w:val="0"/>
      <w:divBdr>
        <w:top w:val="none" w:sz="0" w:space="0" w:color="auto"/>
        <w:left w:val="none" w:sz="0" w:space="0" w:color="auto"/>
        <w:bottom w:val="none" w:sz="0" w:space="0" w:color="auto"/>
        <w:right w:val="none" w:sz="0" w:space="0" w:color="auto"/>
      </w:divBdr>
    </w:div>
    <w:div w:id="1889106103">
      <w:bodyDiv w:val="1"/>
      <w:marLeft w:val="0"/>
      <w:marRight w:val="0"/>
      <w:marTop w:val="0"/>
      <w:marBottom w:val="0"/>
      <w:divBdr>
        <w:top w:val="none" w:sz="0" w:space="0" w:color="auto"/>
        <w:left w:val="none" w:sz="0" w:space="0" w:color="auto"/>
        <w:bottom w:val="none" w:sz="0" w:space="0" w:color="auto"/>
        <w:right w:val="none" w:sz="0" w:space="0" w:color="auto"/>
      </w:divBdr>
    </w:div>
    <w:div w:id="1976829970">
      <w:bodyDiv w:val="1"/>
      <w:marLeft w:val="0"/>
      <w:marRight w:val="0"/>
      <w:marTop w:val="0"/>
      <w:marBottom w:val="0"/>
      <w:divBdr>
        <w:top w:val="none" w:sz="0" w:space="0" w:color="auto"/>
        <w:left w:val="none" w:sz="0" w:space="0" w:color="auto"/>
        <w:bottom w:val="none" w:sz="0" w:space="0" w:color="auto"/>
        <w:right w:val="none" w:sz="0" w:space="0" w:color="auto"/>
      </w:divBdr>
      <w:divsChild>
        <w:div w:id="1581409477">
          <w:marLeft w:val="0"/>
          <w:marRight w:val="0"/>
          <w:marTop w:val="0"/>
          <w:marBottom w:val="0"/>
          <w:divBdr>
            <w:top w:val="none" w:sz="0" w:space="0" w:color="auto"/>
            <w:left w:val="none" w:sz="0" w:space="0" w:color="auto"/>
            <w:bottom w:val="none" w:sz="0" w:space="0" w:color="auto"/>
            <w:right w:val="none" w:sz="0" w:space="0" w:color="auto"/>
          </w:divBdr>
          <w:divsChild>
            <w:div w:id="1188911623">
              <w:marLeft w:val="0"/>
              <w:marRight w:val="0"/>
              <w:marTop w:val="0"/>
              <w:marBottom w:val="0"/>
              <w:divBdr>
                <w:top w:val="none" w:sz="0" w:space="0" w:color="auto"/>
                <w:left w:val="none" w:sz="0" w:space="0" w:color="auto"/>
                <w:bottom w:val="none" w:sz="0" w:space="0" w:color="auto"/>
                <w:right w:val="none" w:sz="0" w:space="0" w:color="auto"/>
              </w:divBdr>
              <w:divsChild>
                <w:div w:id="781219056">
                  <w:marLeft w:val="0"/>
                  <w:marRight w:val="0"/>
                  <w:marTop w:val="0"/>
                  <w:marBottom w:val="0"/>
                  <w:divBdr>
                    <w:top w:val="none" w:sz="0" w:space="0" w:color="auto"/>
                    <w:left w:val="none" w:sz="0" w:space="0" w:color="auto"/>
                    <w:bottom w:val="none" w:sz="0" w:space="0" w:color="auto"/>
                    <w:right w:val="none" w:sz="0" w:space="0" w:color="auto"/>
                  </w:divBdr>
                  <w:divsChild>
                    <w:div w:id="15279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reativecommons.org/licenses/by/4.0/"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1" Type="http://schemas.openxmlformats.org/officeDocument/2006/relationships/hyperlink" Target="https://docs.google.com/document/d/1JJKvciLGV_kTcJtT3xHH_2Keig8z0sWw64pk6T4SBJ0/edit" TargetMode="External"/><Relationship Id="rId12" Type="http://schemas.openxmlformats.org/officeDocument/2006/relationships/hyperlink" Target="https://pkp.sfu.ca/wp-content/uploads/2017/06/PKP-2016-Annual-Report.pdf" TargetMode="External"/><Relationship Id="rId13" Type="http://schemas.openxmlformats.org/officeDocument/2006/relationships/hyperlink" Target="https://www.hathitrust.org/sites/www.hathitrust.org/files/HT_2016_member-meeting_BUDGET%20SLIDES.pdf" TargetMode="External"/><Relationship Id="rId14" Type="http://schemas.openxmlformats.org/officeDocument/2006/relationships/hyperlink" Target="http://duraspace.org/node/3153" TargetMode="External"/><Relationship Id="rId15" Type="http://schemas.openxmlformats.org/officeDocument/2006/relationships/hyperlink" Target="https://www.ft.com/content/c6f6c594-7787-11e7-a3e8-60495fe6ca71" TargetMode="External"/><Relationship Id="rId1" Type="http://schemas.openxmlformats.org/officeDocument/2006/relationships/hyperlink" Target="http://www.budapestopenaccessinitiative.org/open-access-toward-the-internet-of-the-mind" TargetMode="External"/><Relationship Id="rId2" Type="http://schemas.openxmlformats.org/officeDocument/2006/relationships/hyperlink" Target="https://www.forbes.com/sites/kalevleetaru/2017/07/31/the-internet-made-information-free-now-it-has-come-for-academic-research/" TargetMode="External"/><Relationship Id="rId3" Type="http://schemas.openxmlformats.org/officeDocument/2006/relationships/hyperlink" Target="https://www.forbes.com/sites/kalevleetaru/2017/07/31/the-internet-made-information-free-now-it-has-come-for-academic-research/" TargetMode="External"/><Relationship Id="rId4" Type="http://schemas.openxmlformats.org/officeDocument/2006/relationships/hyperlink" Target="http://www.ala.org/acrl/sites/ala.org.acrl/files/content/publications/whitepapers/new_roles_75th.pdf" TargetMode="External"/><Relationship Id="rId5" Type="http://schemas.openxmlformats.org/officeDocument/2006/relationships/hyperlink" Target="https://nces.ed.gov/pubs2014/2014038.pdf" TargetMode="External"/><Relationship Id="rId6" Type="http://schemas.openxmlformats.org/officeDocument/2006/relationships/hyperlink" Target="http://publications.arl.org/ARL-Statistics-2014-2015/" TargetMode="External"/><Relationship Id="rId7" Type="http://schemas.openxmlformats.org/officeDocument/2006/relationships/hyperlink" Target="https://doi.org/10.5860/crl.78.2.16581" TargetMode="External"/><Relationship Id="rId8" Type="http://schemas.openxmlformats.org/officeDocument/2006/relationships/hyperlink" Target="https://doi.org/10.5860/crl.78.2.16581" TargetMode="External"/><Relationship Id="rId9" Type="http://schemas.openxmlformats.org/officeDocument/2006/relationships/hyperlink" Target="http://blogs.lse.ac.uk/impactofsocialsciences/2017/08/15/scholarly-communications-shouldnt-just-be-open-but-non-profit-too/" TargetMode="External"/><Relationship Id="rId10" Type="http://schemas.openxmlformats.org/officeDocument/2006/relationships/hyperlink" Target="https://sparcopen.org/news/2017/elsevier-acquisition-highlights-the-need-for-community-based-scholarly-communication-infrastructur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2117</Words>
  <Characters>12070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2017-08-30T19:59:00Z</dcterms:created>
  <dcterms:modified xsi:type="dcterms:W3CDTF">2017-09-06T15:17:00Z</dcterms:modified>
</cp:coreProperties>
</file>